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101" w:rsidRPr="00FA4BC8" w:rsidRDefault="00817101" w:rsidP="00FA4BC8">
      <w:pPr>
        <w:pStyle w:val="Heading3"/>
        <w:numPr>
          <w:ilvl w:val="0"/>
          <w:numId w:val="0"/>
        </w:numPr>
        <w:spacing w:after="120" w:line="280" w:lineRule="atLeast"/>
        <w:ind w:left="1985" w:hanging="1985"/>
        <w:rPr>
          <w:rFonts w:ascii="Tahoma" w:hAnsi="Tahoma" w:cs="Tahoma"/>
          <w:sz w:val="20"/>
          <w:szCs w:val="20"/>
        </w:rPr>
      </w:pPr>
      <w:bookmarkStart w:id="0" w:name="_Toc400450271"/>
      <w:r w:rsidRPr="00FA4BC8">
        <w:rPr>
          <w:rFonts w:ascii="Tahoma" w:hAnsi="Tahoma" w:cs="Tahoma"/>
          <w:sz w:val="20"/>
          <w:szCs w:val="20"/>
        </w:rPr>
        <w:t>Διαδικασία ΔΙ_2</w:t>
      </w:r>
      <w:r>
        <w:rPr>
          <w:rFonts w:ascii="Tahoma" w:hAnsi="Tahoma" w:cs="Tahoma"/>
          <w:sz w:val="20"/>
          <w:szCs w:val="20"/>
        </w:rPr>
        <w:t xml:space="preserve">_ΚΕ </w:t>
      </w:r>
      <w:r w:rsidRPr="00FA4BC8">
        <w:rPr>
          <w:rFonts w:ascii="Tahoma" w:hAnsi="Tahoma" w:cs="Tahoma"/>
          <w:sz w:val="20"/>
          <w:szCs w:val="20"/>
        </w:rPr>
        <w:t>: Επιλογή και έγκριση πράξης (πράξεις ΚΕ)</w:t>
      </w:r>
    </w:p>
    <w:bookmarkEnd w:id="0"/>
    <w:p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 xml:space="preserve">1. Σκοπός </w:t>
      </w:r>
    </w:p>
    <w:p w:rsidR="00817101" w:rsidRPr="00872B0C" w:rsidRDefault="00817101" w:rsidP="00FA4BC8">
      <w:pPr>
        <w:spacing w:after="120" w:line="280" w:lineRule="atLeast"/>
        <w:rPr>
          <w:rFonts w:ascii="Tahoma" w:hAnsi="Tahoma" w:cs="Tahoma"/>
          <w:color w:val="000000"/>
          <w:sz w:val="20"/>
          <w:szCs w:val="20"/>
        </w:rPr>
      </w:pPr>
      <w:r w:rsidRPr="00FA4BC8">
        <w:rPr>
          <w:rFonts w:ascii="Tahoma" w:hAnsi="Tahoma" w:cs="Tahoma"/>
          <w:color w:val="000000"/>
          <w:sz w:val="20"/>
          <w:szCs w:val="20"/>
        </w:rPr>
        <w:t>Ο σκοπός της διαδικασίας είναι η διασφάλιση της διαφάνειας και της ίσης μεταχείρισης στην επιλογή για χρηματοδότηση των πράξεων</w:t>
      </w:r>
      <w:r>
        <w:rPr>
          <w:rFonts w:ascii="Tahoma" w:hAnsi="Tahoma" w:cs="Tahoma"/>
          <w:color w:val="000000"/>
          <w:sz w:val="20"/>
          <w:szCs w:val="20"/>
        </w:rPr>
        <w:t xml:space="preserve"> </w:t>
      </w:r>
      <w:r w:rsidRPr="00A151AC">
        <w:rPr>
          <w:rFonts w:ascii="Tahoma" w:hAnsi="Tahoma" w:cs="Tahoma"/>
          <w:sz w:val="20"/>
          <w:szCs w:val="20"/>
        </w:rPr>
        <w:t>που συμβάλουν στην επίτευξη των ειδικών στόχων της σχετικής προτεραιότητας</w:t>
      </w:r>
      <w:r w:rsidRPr="00FA4BC8">
        <w:rPr>
          <w:rFonts w:ascii="Tahoma" w:hAnsi="Tahoma" w:cs="Tahoma"/>
          <w:color w:val="000000"/>
          <w:sz w:val="20"/>
          <w:szCs w:val="20"/>
        </w:rPr>
        <w:t xml:space="preserve">, σύμφωνα με τα εγκεκριμένα κριτήρια και τη μεθοδολογία αξιολόγησης που </w:t>
      </w:r>
      <w:r w:rsidR="00872B0C">
        <w:rPr>
          <w:rFonts w:ascii="Tahoma" w:hAnsi="Tahoma" w:cs="Tahoma"/>
          <w:color w:val="000000"/>
          <w:sz w:val="20"/>
          <w:szCs w:val="20"/>
        </w:rPr>
        <w:t>περιλαμβάνονται στην Πρόσκληση.</w:t>
      </w:r>
    </w:p>
    <w:p w:rsidR="00872B0C" w:rsidRPr="00872B0C" w:rsidRDefault="00872B0C" w:rsidP="00FA4BC8">
      <w:pPr>
        <w:spacing w:after="120" w:line="280" w:lineRule="atLeast"/>
        <w:rPr>
          <w:rFonts w:ascii="Tahoma" w:hAnsi="Tahoma" w:cs="Tahoma"/>
          <w:color w:val="000000"/>
          <w:sz w:val="20"/>
          <w:szCs w:val="20"/>
        </w:rPr>
      </w:pPr>
    </w:p>
    <w:p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 xml:space="preserve">2. Πεδίο εφαρμογής </w:t>
      </w:r>
    </w:p>
    <w:p w:rsidR="00817101" w:rsidRPr="00FA4BC8" w:rsidRDefault="00817101" w:rsidP="00FA4BC8">
      <w:pPr>
        <w:spacing w:after="120" w:line="280" w:lineRule="atLeast"/>
        <w:rPr>
          <w:rFonts w:ascii="Tahoma" w:hAnsi="Tahoma" w:cs="Tahoma"/>
          <w:color w:val="000000"/>
          <w:sz w:val="20"/>
          <w:szCs w:val="20"/>
        </w:rPr>
      </w:pPr>
      <w:r w:rsidRPr="00FA4BC8">
        <w:rPr>
          <w:rFonts w:ascii="Tahoma" w:hAnsi="Tahoma" w:cs="Tahoma"/>
          <w:color w:val="000000"/>
          <w:sz w:val="20"/>
          <w:szCs w:val="20"/>
        </w:rPr>
        <w:t xml:space="preserve">Η παρούσα διαδικασία εφαρμόζεται για την αξιολόγηση και επιλογή των αιτήσεων χρηματοδότησης, που αφορούν σε κρατικές ενισχύσεις, </w:t>
      </w:r>
      <w:r w:rsidRPr="00FA4BC8">
        <w:rPr>
          <w:rFonts w:ascii="Tahoma" w:hAnsi="Tahoma" w:cs="Tahoma"/>
          <w:sz w:val="20"/>
          <w:szCs w:val="20"/>
        </w:rPr>
        <w:t xml:space="preserve">για δράσεις επιχειρηματικότητας. Διευκρινίζεται ότι </w:t>
      </w:r>
      <w:r w:rsidRPr="00910C39">
        <w:rPr>
          <w:rFonts w:ascii="Tahoma" w:hAnsi="Tahoma" w:cs="Tahoma"/>
          <w:sz w:val="20"/>
          <w:szCs w:val="20"/>
        </w:rPr>
        <w:t xml:space="preserve">δεν αφορά σε πράξεις κρατικής ενίσχυσης </w:t>
      </w:r>
      <w:r>
        <w:rPr>
          <w:rFonts w:ascii="Tahoma" w:hAnsi="Tahoma" w:cs="Tahoma"/>
          <w:sz w:val="20"/>
          <w:szCs w:val="20"/>
        </w:rPr>
        <w:t>υποδομών</w:t>
      </w:r>
      <w:r w:rsidRPr="00FA4BC8">
        <w:rPr>
          <w:rFonts w:ascii="Tahoma" w:hAnsi="Tahoma" w:cs="Tahoma"/>
          <w:color w:val="000000"/>
          <w:sz w:val="20"/>
          <w:szCs w:val="20"/>
        </w:rPr>
        <w:t xml:space="preserve">. </w:t>
      </w:r>
    </w:p>
    <w:p w:rsidR="00817101" w:rsidRPr="00464658" w:rsidRDefault="00817101" w:rsidP="00FA4BC8">
      <w:pPr>
        <w:spacing w:after="120" w:line="280" w:lineRule="atLeast"/>
        <w:rPr>
          <w:rFonts w:ascii="Tahoma" w:hAnsi="Tahoma" w:cs="Tahoma"/>
          <w:i/>
          <w:sz w:val="20"/>
          <w:szCs w:val="20"/>
        </w:rPr>
      </w:pPr>
      <w:r w:rsidRPr="00FA4BC8">
        <w:rPr>
          <w:rFonts w:ascii="Tahoma" w:hAnsi="Tahoma" w:cs="Tahoma"/>
          <w:sz w:val="20"/>
          <w:szCs w:val="20"/>
        </w:rPr>
        <w:t xml:space="preserve">Σε περίπτωση που η ΔΑ, βάσει του άρθρου 123 του Καν. 1303/13, αναθέτει σε Ενδιάμεσο Φορέα (ΕΦ) την άσκηση αρμοδιοτήτων διαχείρισης μέρους του Ε.Π. ή συγκεκριμένα καθήκοντά της, που αφορούν στην παρούσα διαδικασία, οι σχετικές υποχρεώσεις που αναλαμβάνει ο ΕΦ περιλαμβάνονται στην Απόφαση Ορισμού του (βλ. </w:t>
      </w:r>
      <w:r w:rsidRPr="00FA4BC8">
        <w:rPr>
          <w:rFonts w:ascii="Tahoma" w:hAnsi="Tahoma" w:cs="Tahoma"/>
          <w:i/>
          <w:sz w:val="20"/>
          <w:szCs w:val="20"/>
        </w:rPr>
        <w:t>Διαδικασία Δ</w:t>
      </w:r>
      <w:r w:rsidRPr="00FA4BC8">
        <w:rPr>
          <w:rFonts w:ascii="Tahoma" w:hAnsi="Tahoma" w:cs="Tahoma"/>
          <w:i/>
          <w:sz w:val="20"/>
          <w:szCs w:val="20"/>
          <w:lang w:val="en-US"/>
        </w:rPr>
        <w:t>V</w:t>
      </w:r>
      <w:r w:rsidRPr="00FA4BC8">
        <w:rPr>
          <w:rFonts w:ascii="Tahoma" w:hAnsi="Tahoma" w:cs="Tahoma"/>
          <w:i/>
          <w:sz w:val="20"/>
          <w:szCs w:val="20"/>
        </w:rPr>
        <w:t>_1. «Ορισμός Ενδιάμεσου Φορέα»</w:t>
      </w:r>
      <w:r w:rsidRPr="00FA4BC8">
        <w:rPr>
          <w:rFonts w:ascii="Tahoma" w:hAnsi="Tahoma" w:cs="Tahoma"/>
          <w:sz w:val="20"/>
          <w:szCs w:val="20"/>
        </w:rPr>
        <w:t xml:space="preserve"> και </w:t>
      </w:r>
      <w:r w:rsidRPr="00FA4BC8">
        <w:rPr>
          <w:rFonts w:ascii="Tahoma" w:hAnsi="Tahoma" w:cs="Tahoma"/>
          <w:i/>
          <w:sz w:val="20"/>
          <w:szCs w:val="20"/>
        </w:rPr>
        <w:t xml:space="preserve">Έντυπο </w:t>
      </w:r>
      <w:r w:rsidRPr="00F03625">
        <w:rPr>
          <w:rFonts w:ascii="Tahoma" w:hAnsi="Tahoma" w:cs="Tahoma"/>
          <w:i/>
          <w:iCs/>
          <w:sz w:val="20"/>
          <w:szCs w:val="20"/>
        </w:rPr>
        <w:t>Ε.V.1_KE_1α</w:t>
      </w:r>
      <w:r w:rsidRPr="00F03625">
        <w:rPr>
          <w:rFonts w:ascii="Tahoma" w:hAnsi="Tahoma" w:cs="Tahoma"/>
          <w:sz w:val="20"/>
          <w:szCs w:val="20"/>
        </w:rPr>
        <w:t>)</w:t>
      </w:r>
      <w:r w:rsidRPr="00FA4BC8">
        <w:rPr>
          <w:rFonts w:ascii="Tahoma" w:hAnsi="Tahoma" w:cs="Tahoma"/>
          <w:sz w:val="20"/>
          <w:szCs w:val="20"/>
        </w:rPr>
        <w:t xml:space="preserve">, ενώ η άσκησή των αρμοδιοτήτων του παρακολουθείται από τη ΔΑ σύμφωνα με τη διαδικασία </w:t>
      </w:r>
      <w:r w:rsidRPr="00FA4BC8">
        <w:rPr>
          <w:rFonts w:ascii="Tahoma" w:hAnsi="Tahoma" w:cs="Tahoma"/>
          <w:i/>
          <w:sz w:val="20"/>
          <w:szCs w:val="20"/>
        </w:rPr>
        <w:t>Δ</w:t>
      </w:r>
      <w:r w:rsidRPr="00FA4BC8">
        <w:rPr>
          <w:rFonts w:ascii="Tahoma" w:hAnsi="Tahoma" w:cs="Tahoma"/>
          <w:i/>
          <w:sz w:val="20"/>
          <w:szCs w:val="20"/>
          <w:lang w:val="en-US"/>
        </w:rPr>
        <w:t>V</w:t>
      </w:r>
      <w:r w:rsidRPr="00FA4BC8">
        <w:rPr>
          <w:rFonts w:ascii="Tahoma" w:hAnsi="Tahoma" w:cs="Tahoma"/>
          <w:i/>
          <w:sz w:val="20"/>
          <w:szCs w:val="20"/>
        </w:rPr>
        <w:t>_2 «Παρακολούθηση Ενδιάμεσου Φορέα».</w:t>
      </w:r>
    </w:p>
    <w:p w:rsidR="00872B0C" w:rsidRPr="00464658" w:rsidRDefault="00872B0C" w:rsidP="00FA4BC8">
      <w:pPr>
        <w:spacing w:after="120" w:line="280" w:lineRule="atLeast"/>
        <w:rPr>
          <w:rFonts w:ascii="Tahoma" w:hAnsi="Tahoma" w:cs="Tahoma"/>
          <w:color w:val="000000"/>
          <w:sz w:val="20"/>
          <w:szCs w:val="20"/>
        </w:rPr>
      </w:pPr>
    </w:p>
    <w:p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 xml:space="preserve">3. Θεσμικό Πλαίσιο </w:t>
      </w:r>
    </w:p>
    <w:p w:rsidR="00817101" w:rsidRPr="00FA4BC8" w:rsidRDefault="00817101" w:rsidP="00FA4BC8">
      <w:pPr>
        <w:pStyle w:val="ListParagraph"/>
        <w:numPr>
          <w:ilvl w:val="0"/>
          <w:numId w:val="37"/>
        </w:numPr>
        <w:spacing w:after="120" w:line="280" w:lineRule="atLeast"/>
        <w:rPr>
          <w:rFonts w:ascii="Tahoma" w:hAnsi="Tahoma" w:cs="Tahoma"/>
          <w:color w:val="000000"/>
          <w:sz w:val="20"/>
          <w:szCs w:val="20"/>
        </w:rPr>
      </w:pPr>
      <w:r w:rsidRPr="00FA4BC8">
        <w:rPr>
          <w:rFonts w:ascii="Tahoma" w:hAnsi="Tahoma" w:cs="Tahoma"/>
          <w:color w:val="000000"/>
          <w:sz w:val="20"/>
          <w:szCs w:val="20"/>
        </w:rPr>
        <w:t>Κανονισμός (ΕΚ) 1303/2013</w:t>
      </w:r>
    </w:p>
    <w:p w:rsidR="00817101" w:rsidRPr="00FA4BC8" w:rsidRDefault="00817101" w:rsidP="00FA4BC8">
      <w:pPr>
        <w:pStyle w:val="ListParagraph"/>
        <w:numPr>
          <w:ilvl w:val="1"/>
          <w:numId w:val="37"/>
        </w:numPr>
        <w:spacing w:after="120" w:line="280" w:lineRule="atLeast"/>
        <w:contextualSpacing w:val="0"/>
        <w:rPr>
          <w:rFonts w:ascii="Tahoma" w:hAnsi="Tahoma" w:cs="Tahoma"/>
          <w:sz w:val="20"/>
          <w:szCs w:val="20"/>
        </w:rPr>
      </w:pPr>
      <w:r w:rsidRPr="00FA4BC8">
        <w:rPr>
          <w:rFonts w:ascii="Tahoma" w:hAnsi="Tahoma" w:cs="Tahoma"/>
          <w:sz w:val="20"/>
          <w:szCs w:val="20"/>
        </w:rPr>
        <w:t>Άρθρο 115, παρ. 2 και 125, παρ. 3</w:t>
      </w:r>
    </w:p>
    <w:p w:rsidR="00817101" w:rsidRPr="00FA4BC8" w:rsidRDefault="00817101" w:rsidP="00FA4BC8">
      <w:pPr>
        <w:pStyle w:val="ListParagraph"/>
        <w:numPr>
          <w:ilvl w:val="0"/>
          <w:numId w:val="37"/>
        </w:numPr>
        <w:spacing w:after="120" w:line="280" w:lineRule="atLeast"/>
        <w:contextualSpacing w:val="0"/>
        <w:rPr>
          <w:rFonts w:ascii="Tahoma" w:hAnsi="Tahoma" w:cs="Tahoma"/>
          <w:sz w:val="20"/>
          <w:szCs w:val="20"/>
        </w:rPr>
      </w:pPr>
      <w:r w:rsidRPr="00FA4BC8">
        <w:rPr>
          <w:rFonts w:ascii="Tahoma" w:hAnsi="Tahoma" w:cs="Tahoma"/>
          <w:sz w:val="20"/>
          <w:szCs w:val="20"/>
        </w:rPr>
        <w:t>Κανονισμός (ΕΕ) 1407/2013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minimis).</w:t>
      </w:r>
    </w:p>
    <w:p w:rsidR="00817101" w:rsidRPr="00FA4BC8" w:rsidRDefault="00817101" w:rsidP="00FA4BC8">
      <w:pPr>
        <w:pStyle w:val="ListParagraph"/>
        <w:numPr>
          <w:ilvl w:val="0"/>
          <w:numId w:val="37"/>
        </w:numPr>
        <w:spacing w:after="120" w:line="280" w:lineRule="atLeast"/>
        <w:contextualSpacing w:val="0"/>
        <w:rPr>
          <w:rFonts w:ascii="Tahoma" w:hAnsi="Tahoma" w:cs="Tahoma"/>
          <w:sz w:val="20"/>
          <w:szCs w:val="20"/>
        </w:rPr>
      </w:pPr>
      <w:r w:rsidRPr="00FA4BC8">
        <w:rPr>
          <w:rFonts w:ascii="Tahoma" w:hAnsi="Tahoma" w:cs="Tahoma"/>
          <w:sz w:val="20"/>
          <w:szCs w:val="20"/>
        </w:rPr>
        <w:t>Κανονισμός (ΕΕ) 651/2014 της 17ης Ιουνίου 2014, για την κήρυξη ορισμένων κατηγοριών ενισχύσεων ως συμβατών με την εσωτερική αγορά κατ’ εφαρμογή των άρθρων 107 και 108 της Συνθήκης (Απαλλακτικός)</w:t>
      </w:r>
    </w:p>
    <w:p w:rsidR="00817101" w:rsidRPr="00FA4BC8" w:rsidRDefault="00817101" w:rsidP="00FA4BC8">
      <w:pPr>
        <w:pStyle w:val="ListParagraph"/>
        <w:numPr>
          <w:ilvl w:val="0"/>
          <w:numId w:val="37"/>
        </w:numPr>
        <w:spacing w:after="120" w:line="280" w:lineRule="atLeast"/>
        <w:contextualSpacing w:val="0"/>
        <w:rPr>
          <w:rFonts w:ascii="Tahoma" w:hAnsi="Tahoma" w:cs="Tahoma"/>
          <w:sz w:val="20"/>
          <w:szCs w:val="20"/>
        </w:rPr>
      </w:pPr>
      <w:r w:rsidRPr="00FA4BC8">
        <w:rPr>
          <w:rFonts w:ascii="Tahoma" w:hAnsi="Tahoma" w:cs="Tahoma"/>
          <w:sz w:val="20"/>
          <w:szCs w:val="20"/>
        </w:rPr>
        <w:t>Σχετικές ανακοινώσεις και Κατευθυντήριες Γραμμές της ΕΕ</w:t>
      </w:r>
    </w:p>
    <w:p w:rsidR="00817101" w:rsidRPr="00FA4BC8" w:rsidRDefault="00817101" w:rsidP="00FA4BC8">
      <w:pPr>
        <w:pStyle w:val="ListParagraph"/>
        <w:numPr>
          <w:ilvl w:val="0"/>
          <w:numId w:val="37"/>
        </w:numPr>
        <w:spacing w:after="120" w:line="280" w:lineRule="atLeast"/>
        <w:contextualSpacing w:val="0"/>
        <w:rPr>
          <w:rFonts w:ascii="Tahoma" w:hAnsi="Tahoma" w:cs="Tahoma"/>
          <w:sz w:val="20"/>
          <w:szCs w:val="20"/>
        </w:rPr>
      </w:pPr>
      <w:r w:rsidRPr="00FA4BC8">
        <w:rPr>
          <w:rFonts w:ascii="Tahoma" w:hAnsi="Tahoma" w:cs="Tahoma"/>
          <w:sz w:val="20"/>
          <w:szCs w:val="20"/>
        </w:rPr>
        <w:t>Νόμος 4314/2014</w:t>
      </w:r>
    </w:p>
    <w:p w:rsidR="00817101" w:rsidRPr="00872B0C" w:rsidRDefault="00817101" w:rsidP="00FA4BC8">
      <w:pPr>
        <w:pStyle w:val="ListParagraph"/>
        <w:numPr>
          <w:ilvl w:val="1"/>
          <w:numId w:val="37"/>
        </w:numPr>
        <w:spacing w:after="120" w:line="280" w:lineRule="atLeast"/>
        <w:contextualSpacing w:val="0"/>
        <w:rPr>
          <w:rFonts w:ascii="Tahoma" w:hAnsi="Tahoma" w:cs="Tahoma"/>
          <w:sz w:val="20"/>
          <w:szCs w:val="20"/>
        </w:rPr>
      </w:pPr>
      <w:r w:rsidRPr="00FA4BC8">
        <w:rPr>
          <w:rFonts w:ascii="Tahoma" w:hAnsi="Tahoma" w:cs="Tahoma"/>
          <w:sz w:val="20"/>
          <w:szCs w:val="20"/>
        </w:rPr>
        <w:t>Άρθρα 14,15, 38, 47, 57</w:t>
      </w:r>
    </w:p>
    <w:p w:rsidR="00872B0C" w:rsidRPr="00FA4BC8" w:rsidRDefault="00872B0C" w:rsidP="00872B0C">
      <w:pPr>
        <w:pStyle w:val="ListParagraph"/>
        <w:spacing w:after="120" w:line="280" w:lineRule="atLeast"/>
        <w:ind w:left="1440"/>
        <w:contextualSpacing w:val="0"/>
        <w:rPr>
          <w:rFonts w:ascii="Tahoma" w:hAnsi="Tahoma" w:cs="Tahoma"/>
          <w:sz w:val="20"/>
          <w:szCs w:val="20"/>
        </w:rPr>
      </w:pPr>
    </w:p>
    <w:p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 xml:space="preserve">4. Περιγραφή </w:t>
      </w:r>
    </w:p>
    <w:p w:rsidR="00817101" w:rsidRPr="00FA4BC8" w:rsidRDefault="00817101" w:rsidP="00872B0C">
      <w:pPr>
        <w:pStyle w:val="ListParagraph"/>
        <w:widowControl w:val="0"/>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Διαλειτουργικότητα Πληροφοριακών Συστημάτων ΟΠΣ και ΠΣΚΕ</w:t>
      </w:r>
    </w:p>
    <w:p w:rsidR="00817101" w:rsidRPr="00FA4BC8" w:rsidRDefault="00817101" w:rsidP="00872B0C">
      <w:pPr>
        <w:pStyle w:val="ListParagraph"/>
        <w:widowControl w:val="0"/>
        <w:spacing w:before="240" w:after="120" w:line="280" w:lineRule="atLeast"/>
        <w:ind w:left="0"/>
        <w:contextualSpacing w:val="0"/>
        <w:rPr>
          <w:rFonts w:ascii="Tahoma" w:hAnsi="Tahoma" w:cs="Tahoma"/>
          <w:color w:val="000000"/>
          <w:sz w:val="20"/>
          <w:szCs w:val="20"/>
        </w:rPr>
      </w:pPr>
      <w:r w:rsidRPr="00FA4BC8">
        <w:rPr>
          <w:rFonts w:ascii="Tahoma" w:hAnsi="Tahoma" w:cs="Tahoma"/>
          <w:color w:val="000000"/>
          <w:sz w:val="20"/>
          <w:szCs w:val="20"/>
        </w:rPr>
        <w:t xml:space="preserve">Για την συνεκτική λειτουργία των Πληροφοριακών Συστημάτων ΠΣΚΕ και ΟΠΣ ΕΣΠΑ, τη μείωση του διοικητικού φόρτου και την ελαχιστοποίηση της πιθανότητας σφαλμάτων/καθυστερήσεων, από τις Υπηρεσίες της ΕΑΣ έχει πραγματοποιηθεί εκ των προτέρων αντιστοίχιση των </w:t>
      </w:r>
      <w:r w:rsidRPr="00FA4BC8">
        <w:rPr>
          <w:rFonts w:ascii="Tahoma" w:hAnsi="Tahoma" w:cs="Tahoma"/>
          <w:color w:val="000000"/>
          <w:sz w:val="20"/>
          <w:szCs w:val="20"/>
          <w:u w:val="single"/>
        </w:rPr>
        <w:t>κοινών πεδίων</w:t>
      </w:r>
      <w:r w:rsidRPr="00FA4BC8">
        <w:rPr>
          <w:rFonts w:ascii="Tahoma" w:hAnsi="Tahoma" w:cs="Tahoma"/>
          <w:color w:val="000000"/>
          <w:sz w:val="20"/>
          <w:szCs w:val="20"/>
        </w:rPr>
        <w:t xml:space="preserve"> των εντύπων που υποστηρίζει το κάθε πληροφοριακό σύστημα. Όταν τα πεδία αυτά οριστικοποιούνται ή επικαιροποιούνται στο ΠΣΚΕ, μέσω της διαλειτουργικότητας των δύο συστημάτων, τα στοιχεία τους παρέχονται άμεσα και στο ΟΠΣ ΕΣΠΑ. </w:t>
      </w:r>
    </w:p>
    <w:p w:rsidR="00817101" w:rsidRPr="00FA4BC8" w:rsidRDefault="00817101" w:rsidP="00872B0C">
      <w:pPr>
        <w:pStyle w:val="ListParagraph"/>
        <w:widowControl w:val="0"/>
        <w:spacing w:before="240" w:after="120" w:line="280" w:lineRule="atLeast"/>
        <w:ind w:left="0"/>
        <w:contextualSpacing w:val="0"/>
        <w:rPr>
          <w:rFonts w:ascii="Tahoma" w:hAnsi="Tahoma" w:cs="Tahoma"/>
          <w:b/>
          <w:bCs/>
          <w:color w:val="990000"/>
          <w:sz w:val="20"/>
          <w:szCs w:val="20"/>
        </w:rPr>
      </w:pPr>
      <w:r w:rsidRPr="00FA4BC8">
        <w:rPr>
          <w:rFonts w:ascii="Tahoma" w:hAnsi="Tahoma" w:cs="Tahoma"/>
          <w:color w:val="000000"/>
          <w:sz w:val="20"/>
          <w:szCs w:val="20"/>
        </w:rPr>
        <w:t>Όσον αφορά στη παρούσα διαδικασία, το Τεχνικό Δελτίο Πράξης δημιουργείται στο ΟΠΣ στη βάση αφενός των κοινών πεδίων κάθε Αίτησης Χρηματοδότησης που περιλαμβάνονται στο ΠΣΚΕ και αφετέρου των προκαθορισμένων πεδίων κατηγοριοποίησης που τροφοδοτούνται από τη σχετική Πρόσκληση.</w:t>
      </w:r>
    </w:p>
    <w:p w:rsidR="00817101" w:rsidRPr="00FA4BC8" w:rsidRDefault="00817101" w:rsidP="00872B0C">
      <w:pPr>
        <w:pStyle w:val="ListParagraph"/>
        <w:widowControl w:val="0"/>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lastRenderedPageBreak/>
        <w:t>Υποβολή αιτήσεων χρηματοδότησης</w:t>
      </w:r>
    </w:p>
    <w:p w:rsidR="00817101" w:rsidRPr="00FA4BC8" w:rsidRDefault="00817101" w:rsidP="00872B0C">
      <w:pPr>
        <w:widowControl w:val="0"/>
        <w:spacing w:before="240" w:after="120" w:line="280" w:lineRule="atLeast"/>
        <w:rPr>
          <w:rFonts w:ascii="Tahoma" w:hAnsi="Tahoma" w:cs="Tahoma"/>
          <w:color w:val="000000"/>
          <w:sz w:val="20"/>
          <w:szCs w:val="20"/>
        </w:rPr>
      </w:pPr>
      <w:r w:rsidRPr="00FA4BC8">
        <w:rPr>
          <w:rFonts w:ascii="Tahoma" w:hAnsi="Tahoma" w:cs="Tahoma"/>
          <w:color w:val="000000"/>
          <w:sz w:val="20"/>
          <w:szCs w:val="20"/>
        </w:rPr>
        <w:t>Οι αιτήσεις χρηματοδότησης υποβάλλονται από τους υποψηφίους Δικαιούχους υποχρεωτικά μέσω του Πληροφοριακού Συστήματος Διαχείρισης Κρατικών Ενισχύσεων (ΠΣΚΕ) κάνοντας χρήση του τυποποιημένου στο ΠΣΚΕ Εντύπου Υποβολής Αίτησης Χρηματοδότησης και σύμφωνα με τους όρους της οικείας Πρόσκλησης.</w:t>
      </w:r>
      <w:r w:rsidRPr="00FA4BC8">
        <w:rPr>
          <w:rFonts w:ascii="Tahoma" w:hAnsi="Tahoma" w:cs="Tahoma"/>
          <w:sz w:val="20"/>
          <w:szCs w:val="20"/>
        </w:rPr>
        <w:t xml:space="preserve"> Αιτήσεις στις οποίες δεν έχουν συμπληρωθεί όλα τα υποχρεωτικά προς συμπλήρωση πεδία του ΠΣΚΕ, δεν θα είναι δυνατό να υποβληθούν.</w:t>
      </w:r>
    </w:p>
    <w:p w:rsidR="00817101" w:rsidRPr="00FA4BC8" w:rsidRDefault="00817101" w:rsidP="00FA4BC8">
      <w:pPr>
        <w:spacing w:after="120" w:line="280" w:lineRule="atLeast"/>
        <w:rPr>
          <w:rFonts w:ascii="Tahoma" w:hAnsi="Tahoma" w:cs="Tahoma"/>
          <w:color w:val="000000"/>
          <w:sz w:val="20"/>
          <w:szCs w:val="20"/>
        </w:rPr>
      </w:pPr>
      <w:r w:rsidRPr="00FA4BC8">
        <w:rPr>
          <w:rFonts w:ascii="Tahoma" w:hAnsi="Tahoma" w:cs="Tahoma"/>
          <w:color w:val="000000"/>
          <w:sz w:val="20"/>
          <w:szCs w:val="20"/>
        </w:rPr>
        <w:t xml:space="preserve">Η ΔΑ έχει την υποχρέωση να εξειδικεύει το γενικό εγχειρίδιο χρήσης του ΠΣΚΕ που έχει εκδοθεί από την ΕΥΚΕ, ανάλογα με το περιεχόμενο της κάθε Πρόσκλησης (μέτρο ενίσχυσης) καθώς και να παρέχει υπηρεσίες επιχειρησιακής υποστήριξης των χρηστών του ΠΣΚΕ (helpdesk) αποκλειστικά σε θέματα που αφορούν στην εφαρμογή της οικείας πρόσκλησης καθ’ όλο το διάστημα που θα διαρκέσει η διαδικασία υποβολής αιτήσεων χρηματοδότησης. </w:t>
      </w:r>
    </w:p>
    <w:p w:rsidR="00817101" w:rsidRPr="00FA4BC8" w:rsidRDefault="00817101" w:rsidP="009B365F">
      <w:pPr>
        <w:pStyle w:val="ListParagraph"/>
        <w:keepNext/>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Παραλαβή - Αξιολόγηση των αιτήσεων χρηματοδότησης</w:t>
      </w:r>
    </w:p>
    <w:p w:rsidR="00817101" w:rsidRPr="00FA4BC8" w:rsidRDefault="00817101" w:rsidP="009B365F">
      <w:pPr>
        <w:pStyle w:val="ListParagraph"/>
        <w:keepNext/>
        <w:numPr>
          <w:ilvl w:val="0"/>
          <w:numId w:val="38"/>
        </w:numPr>
        <w:spacing w:after="120" w:line="280" w:lineRule="atLeast"/>
        <w:ind w:left="284" w:hanging="284"/>
        <w:rPr>
          <w:rFonts w:ascii="Tahoma" w:hAnsi="Tahoma" w:cs="Tahoma"/>
          <w:bCs/>
          <w:i/>
          <w:color w:val="990000"/>
          <w:sz w:val="20"/>
          <w:szCs w:val="20"/>
        </w:rPr>
      </w:pPr>
      <w:r w:rsidRPr="00FA4BC8">
        <w:rPr>
          <w:rFonts w:ascii="Tahoma" w:hAnsi="Tahoma" w:cs="Tahoma"/>
          <w:bCs/>
          <w:i/>
          <w:color w:val="990000"/>
          <w:sz w:val="20"/>
          <w:szCs w:val="20"/>
        </w:rPr>
        <w:t xml:space="preserve">Παραλαβή αιτήσεων χρηματοδότησης </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Με την εμπρόθεσμη υποβολή και παραλαβή της αίτησης (ηλεκτρονικά και σε έντυπη μορφή εφόσον απαιτείται), τα πλήρη στοιχεία παραλαβής της αίτησης καταχωρούνται στο ΠΣΚΕ, σύμφωνα με τα προβλεπόμενα στην οικεία Πρόσκληση</w:t>
      </w:r>
      <w:r>
        <w:rPr>
          <w:rFonts w:ascii="Tahoma" w:hAnsi="Tahoma" w:cs="Tahoma"/>
          <w:sz w:val="20"/>
          <w:szCs w:val="20"/>
        </w:rPr>
        <w:t>, ενώ ο</w:t>
      </w:r>
      <w:r w:rsidRPr="00FA4BC8">
        <w:rPr>
          <w:rFonts w:ascii="Tahoma" w:hAnsi="Tahoma" w:cs="Tahoma"/>
          <w:sz w:val="20"/>
          <w:szCs w:val="20"/>
        </w:rPr>
        <w:t xml:space="preserve"> δυνητικό</w:t>
      </w:r>
      <w:r>
        <w:rPr>
          <w:rFonts w:ascii="Tahoma" w:hAnsi="Tahoma" w:cs="Tahoma"/>
          <w:sz w:val="20"/>
          <w:szCs w:val="20"/>
        </w:rPr>
        <w:t xml:space="preserve">ς Δικαιούχος </w:t>
      </w:r>
      <w:r w:rsidRPr="00FA4BC8">
        <w:rPr>
          <w:rFonts w:ascii="Tahoma" w:hAnsi="Tahoma" w:cs="Tahoma"/>
          <w:sz w:val="20"/>
          <w:szCs w:val="20"/>
        </w:rPr>
        <w:t>ενημερώνε</w:t>
      </w:r>
      <w:r>
        <w:rPr>
          <w:rFonts w:ascii="Tahoma" w:hAnsi="Tahoma" w:cs="Tahoma"/>
          <w:sz w:val="20"/>
          <w:szCs w:val="20"/>
        </w:rPr>
        <w:t>ται,</w:t>
      </w:r>
      <w:r w:rsidRPr="00FA4BC8">
        <w:rPr>
          <w:rFonts w:ascii="Tahoma" w:hAnsi="Tahoma" w:cs="Tahoma"/>
          <w:sz w:val="20"/>
          <w:szCs w:val="20"/>
        </w:rPr>
        <w:t xml:space="preserve"> </w:t>
      </w:r>
      <w:r>
        <w:rPr>
          <w:rFonts w:ascii="Tahoma" w:hAnsi="Tahoma" w:cs="Tahoma"/>
          <w:sz w:val="20"/>
          <w:szCs w:val="20"/>
        </w:rPr>
        <w:t>σύμφωνα με τις σχετικές οδηγίες της Πρόσκλησης, μέσω του ΠΣΚΕ για την παραλαβή της</w:t>
      </w:r>
      <w:r w:rsidRPr="00FA4BC8">
        <w:rPr>
          <w:rFonts w:ascii="Tahoma" w:hAnsi="Tahoma" w:cs="Tahoma"/>
          <w:sz w:val="20"/>
          <w:szCs w:val="20"/>
        </w:rPr>
        <w:t>. Όλες οι Αιτήσεις Χρηματοδότησης με τη συνημμένη τεκμηρίωση αρχειοθετούνται (</w:t>
      </w:r>
      <w:r>
        <w:rPr>
          <w:rFonts w:ascii="Tahoma" w:hAnsi="Tahoma" w:cs="Tahoma"/>
          <w:sz w:val="20"/>
          <w:szCs w:val="20"/>
        </w:rPr>
        <w:t xml:space="preserve">σε </w:t>
      </w:r>
      <w:r w:rsidRPr="00FA4BC8">
        <w:rPr>
          <w:rFonts w:ascii="Tahoma" w:hAnsi="Tahoma" w:cs="Tahoma"/>
          <w:sz w:val="20"/>
          <w:szCs w:val="20"/>
        </w:rPr>
        <w:t xml:space="preserve">ηλεκτρονικό και, εφόσον απαιτείται, </w:t>
      </w:r>
      <w:r>
        <w:rPr>
          <w:rFonts w:ascii="Tahoma" w:hAnsi="Tahoma" w:cs="Tahoma"/>
          <w:sz w:val="20"/>
          <w:szCs w:val="20"/>
        </w:rPr>
        <w:t xml:space="preserve">σε </w:t>
      </w:r>
      <w:r w:rsidRPr="00FA4BC8">
        <w:rPr>
          <w:rFonts w:ascii="Tahoma" w:hAnsi="Tahoma" w:cs="Tahoma"/>
          <w:sz w:val="20"/>
          <w:szCs w:val="20"/>
        </w:rPr>
        <w:t>φυσικό αρχείο).</w:t>
      </w:r>
    </w:p>
    <w:p w:rsidR="00817101" w:rsidRPr="00FA4BC8" w:rsidRDefault="00817101" w:rsidP="009B365F">
      <w:pPr>
        <w:pStyle w:val="ListParagraph"/>
        <w:keepNext/>
        <w:numPr>
          <w:ilvl w:val="0"/>
          <w:numId w:val="38"/>
        </w:numPr>
        <w:spacing w:after="120" w:line="280" w:lineRule="atLeast"/>
        <w:ind w:left="284" w:hanging="284"/>
        <w:rPr>
          <w:rFonts w:ascii="Tahoma" w:hAnsi="Tahoma" w:cs="Tahoma"/>
          <w:bCs/>
          <w:i/>
          <w:color w:val="990000"/>
          <w:sz w:val="20"/>
          <w:szCs w:val="20"/>
        </w:rPr>
      </w:pPr>
      <w:r w:rsidRPr="00FA4BC8">
        <w:rPr>
          <w:rFonts w:ascii="Tahoma" w:hAnsi="Tahoma" w:cs="Tahoma"/>
          <w:bCs/>
          <w:i/>
          <w:color w:val="990000"/>
          <w:sz w:val="20"/>
          <w:szCs w:val="20"/>
        </w:rPr>
        <w:t>Έλεγχος πληρότητας στοιχείων της πρότασης</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Ο έλεγχος πληρότητας των υποβαλλόμενων αιτήσεων διενεργείται μέσω του ΠΣΚΕ, με βάση τυποποιημένο ερωτηματολόγιο ελέγχου πληρότητας, σύμφωνα με τους όρους της πρόσκλησης.</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Ειδικότερα, η ΔΑ ελέγχει την πληρότητά τους, ώστε να διασφαλίζεται:</w:t>
      </w:r>
    </w:p>
    <w:p w:rsidR="00817101" w:rsidRPr="00FA4BC8" w:rsidRDefault="00817101" w:rsidP="00FA4BC8">
      <w:pPr>
        <w:pStyle w:val="ListParagraph"/>
        <w:numPr>
          <w:ilvl w:val="0"/>
          <w:numId w:val="36"/>
        </w:numPr>
        <w:spacing w:after="120" w:line="280" w:lineRule="atLeast"/>
        <w:rPr>
          <w:rFonts w:ascii="Tahoma" w:hAnsi="Tahoma" w:cs="Tahoma"/>
          <w:sz w:val="20"/>
          <w:szCs w:val="20"/>
        </w:rPr>
      </w:pPr>
      <w:r w:rsidRPr="00FA4BC8">
        <w:rPr>
          <w:rFonts w:ascii="Tahoma" w:hAnsi="Tahoma" w:cs="Tahoma"/>
          <w:sz w:val="20"/>
          <w:szCs w:val="20"/>
        </w:rPr>
        <w:t>η προσήκουσα συμπλήρωση/ σύνταξη και υποβολή της αίτησης χρηματοδότησης μέσω του ΠΣΚΕ.</w:t>
      </w:r>
    </w:p>
    <w:p w:rsidR="00817101" w:rsidRPr="00FA4BC8" w:rsidRDefault="00817101" w:rsidP="00FA4BC8">
      <w:pPr>
        <w:pStyle w:val="ListParagraph"/>
        <w:numPr>
          <w:ilvl w:val="0"/>
          <w:numId w:val="36"/>
        </w:numPr>
        <w:spacing w:after="120" w:line="280" w:lineRule="atLeast"/>
        <w:rPr>
          <w:rFonts w:ascii="Tahoma" w:hAnsi="Tahoma" w:cs="Tahoma"/>
          <w:sz w:val="20"/>
          <w:szCs w:val="20"/>
        </w:rPr>
      </w:pPr>
      <w:r w:rsidRPr="00FA4BC8">
        <w:rPr>
          <w:rFonts w:ascii="Tahoma" w:hAnsi="Tahoma" w:cs="Tahoma"/>
          <w:sz w:val="20"/>
          <w:szCs w:val="20"/>
        </w:rPr>
        <w:t>ότι η αίτηση χρηματοδότησης συνοδεύεται από όλα τα στοιχεία, έγγραφα και τυπικά δικαιολογητικά που έχουν προσδιοριστεί στην πρόσκληση,</w:t>
      </w:r>
    </w:p>
    <w:p w:rsidR="00817101" w:rsidRPr="00830577" w:rsidRDefault="00817101" w:rsidP="009B365F">
      <w:pPr>
        <w:pStyle w:val="ListParagraph"/>
        <w:numPr>
          <w:ilvl w:val="0"/>
          <w:numId w:val="36"/>
        </w:numPr>
        <w:spacing w:after="120" w:line="280" w:lineRule="atLeast"/>
        <w:ind w:left="714" w:hanging="357"/>
        <w:rPr>
          <w:rFonts w:ascii="Tahoma" w:hAnsi="Tahoma" w:cs="Tahoma"/>
          <w:b/>
          <w:bCs/>
          <w:color w:val="800000"/>
          <w:sz w:val="20"/>
          <w:szCs w:val="20"/>
        </w:rPr>
      </w:pPr>
      <w:r w:rsidRPr="00FA4BC8">
        <w:rPr>
          <w:rFonts w:ascii="Tahoma" w:hAnsi="Tahoma" w:cs="Tahoma"/>
          <w:sz w:val="20"/>
          <w:szCs w:val="20"/>
        </w:rPr>
        <w:t>ότι η αίτηση χρηματοδότησης και τα συνοδευτικά έγγραφα είναι, όπου απαιτείται, κατάλληλα υπογεγραμμένα και νομίμως επικυρωμένα.</w:t>
      </w:r>
    </w:p>
    <w:p w:rsidR="00817101" w:rsidRPr="001A22A4" w:rsidRDefault="00817101" w:rsidP="00830577">
      <w:pPr>
        <w:pStyle w:val="ListParagraph"/>
        <w:spacing w:after="120" w:line="280" w:lineRule="atLeast"/>
        <w:ind w:left="0"/>
        <w:rPr>
          <w:rFonts w:ascii="Tahoma" w:hAnsi="Tahoma" w:cs="Tahoma"/>
          <w:b/>
          <w:bCs/>
          <w:color w:val="800000"/>
          <w:sz w:val="20"/>
          <w:szCs w:val="20"/>
        </w:rPr>
      </w:pPr>
      <w:r w:rsidRPr="008766D4">
        <w:rPr>
          <w:rFonts w:ascii="Tahoma" w:hAnsi="Tahoma" w:cs="Tahoma"/>
          <w:sz w:val="20"/>
          <w:szCs w:val="20"/>
        </w:rPr>
        <w:t>Με την ολοκλήρωση αυτού του σταδίου, ενημερώνονται οι Δικαιούχοι των οποίων η αίτηση δεν είναι πλήρης</w:t>
      </w:r>
    </w:p>
    <w:p w:rsidR="00817101" w:rsidRPr="00FA4BC8" w:rsidRDefault="00817101" w:rsidP="009B365F">
      <w:pPr>
        <w:pStyle w:val="ListParagraph"/>
        <w:keepNext/>
        <w:numPr>
          <w:ilvl w:val="0"/>
          <w:numId w:val="38"/>
        </w:numPr>
        <w:spacing w:before="240" w:after="120" w:line="280" w:lineRule="atLeast"/>
        <w:ind w:left="284" w:hanging="284"/>
        <w:contextualSpacing w:val="0"/>
        <w:rPr>
          <w:rFonts w:ascii="Tahoma" w:hAnsi="Tahoma" w:cs="Tahoma"/>
          <w:bCs/>
          <w:i/>
          <w:color w:val="990000"/>
          <w:sz w:val="20"/>
          <w:szCs w:val="20"/>
        </w:rPr>
      </w:pPr>
      <w:r w:rsidRPr="00FA4BC8">
        <w:rPr>
          <w:rFonts w:ascii="Tahoma" w:hAnsi="Tahoma" w:cs="Tahoma"/>
          <w:bCs/>
          <w:i/>
          <w:color w:val="990000"/>
          <w:sz w:val="20"/>
          <w:szCs w:val="20"/>
        </w:rPr>
        <w:t>Αξιολόγηση</w:t>
      </w:r>
    </w:p>
    <w:p w:rsidR="00817101" w:rsidRPr="00FA4BC8" w:rsidRDefault="00817101" w:rsidP="00FA4BC8">
      <w:pPr>
        <w:spacing w:after="120" w:line="280" w:lineRule="atLeast"/>
        <w:rPr>
          <w:rFonts w:ascii="Tahoma" w:hAnsi="Tahoma" w:cs="Tahoma"/>
          <w:sz w:val="20"/>
          <w:szCs w:val="20"/>
        </w:rPr>
      </w:pPr>
      <w:r>
        <w:rPr>
          <w:rFonts w:ascii="Tahoma" w:hAnsi="Tahoma" w:cs="Tahoma"/>
          <w:sz w:val="20"/>
          <w:szCs w:val="20"/>
        </w:rPr>
        <w:t xml:space="preserve">Μετά την ολοκλήρωση του παραπάνω βήματος, </w:t>
      </w:r>
      <w:r w:rsidRPr="00FA4BC8">
        <w:rPr>
          <w:rFonts w:ascii="Tahoma" w:hAnsi="Tahoma" w:cs="Tahoma"/>
          <w:sz w:val="20"/>
          <w:szCs w:val="20"/>
        </w:rPr>
        <w:t xml:space="preserve">πραγματοποιείται </w:t>
      </w:r>
      <w:r>
        <w:rPr>
          <w:rFonts w:ascii="Tahoma" w:hAnsi="Tahoma" w:cs="Tahoma"/>
          <w:sz w:val="20"/>
          <w:szCs w:val="20"/>
        </w:rPr>
        <w:t>η</w:t>
      </w:r>
      <w:r w:rsidRPr="00FA4BC8">
        <w:rPr>
          <w:rFonts w:ascii="Tahoma" w:hAnsi="Tahoma" w:cs="Tahoma"/>
          <w:sz w:val="20"/>
          <w:szCs w:val="20"/>
        </w:rPr>
        <w:t xml:space="preserve"> αξιολόγηση κάθε αίτησης χρηματοδότησης μέσω του ΠΣΚΕ βάσει τυποποιημένου Εντύπου Αξιολόγησης,</w:t>
      </w:r>
      <w:r w:rsidRPr="00FA4BC8" w:rsidDel="00111E20">
        <w:rPr>
          <w:rFonts w:ascii="Tahoma" w:hAnsi="Tahoma" w:cs="Tahoma"/>
          <w:sz w:val="20"/>
          <w:szCs w:val="20"/>
        </w:rPr>
        <w:t xml:space="preserve"> </w:t>
      </w:r>
      <w:r w:rsidRPr="00FA4BC8">
        <w:rPr>
          <w:rFonts w:ascii="Tahoma" w:hAnsi="Tahoma" w:cs="Tahoma"/>
          <w:sz w:val="20"/>
          <w:szCs w:val="20"/>
        </w:rPr>
        <w:t>σύμφωνα με τα κριτήρια και τη μεθοδολογία που περιγράφονται στην Πρόσκληση και στον Οδηγό (Εφαρμογής) του Προγράμματος/Δράσης. Το αποτέλεσμα της αξιολόγησης της αίτησης με τη σχετική τεκμηρίωση αποτυπώνεται στο παραγόμενο από το ΠΣΚΕ Έντυπο Αξιολόγησης και υπογράφεται από τον Αξιολογητή, εφόσον προβλέπεται.</w:t>
      </w:r>
    </w:p>
    <w:p w:rsidR="00817101" w:rsidRDefault="00817101" w:rsidP="009B365F">
      <w:pPr>
        <w:pStyle w:val="ListParagraph"/>
        <w:numPr>
          <w:ilvl w:val="1"/>
          <w:numId w:val="40"/>
        </w:numPr>
        <w:spacing w:after="120" w:line="280" w:lineRule="atLeast"/>
        <w:ind w:left="284" w:hanging="142"/>
        <w:rPr>
          <w:rFonts w:ascii="Tahoma" w:hAnsi="Tahoma" w:cs="Tahoma"/>
          <w:sz w:val="20"/>
          <w:szCs w:val="20"/>
        </w:rPr>
      </w:pPr>
      <w:r w:rsidRPr="00FA4BC8">
        <w:rPr>
          <w:rFonts w:ascii="Tahoma" w:hAnsi="Tahoma" w:cs="Tahoma"/>
          <w:sz w:val="20"/>
          <w:szCs w:val="20"/>
        </w:rPr>
        <w:t>Η αξιολόγηση των αιτήσεων είναι συγκριτική εκτός από εξαιρετικές περιπτώσεις κατά τις οποίες, απολύτως τεκμηριωμένα, δύναται να επιλεγεί άμεση αξιολόγηση.</w:t>
      </w:r>
      <w:r>
        <w:rPr>
          <w:rFonts w:ascii="Tahoma" w:hAnsi="Tahoma" w:cs="Tahoma"/>
          <w:sz w:val="20"/>
          <w:szCs w:val="20"/>
        </w:rPr>
        <w:t xml:space="preserve"> Τέτοιες περιπτώσεις δύναται να αφορούν δράσεις, όπου η τήρηση ελάχιστων προϋποθέσεων είναι επαρκής για την κάλυψη των στόχων του Επιχειρησιακού Προγράμματος (πχ ορισμένες δράσεις του ΕΚΤ για τη δημιουργία νέων θέσεων εργασίας)</w:t>
      </w:r>
      <w:r w:rsidRPr="00ED483D">
        <w:rPr>
          <w:rFonts w:ascii="Tahoma" w:hAnsi="Tahoma" w:cs="Tahoma"/>
          <w:sz w:val="20"/>
          <w:szCs w:val="20"/>
        </w:rPr>
        <w:t>.</w:t>
      </w:r>
      <w:r w:rsidRPr="00FA4BC8">
        <w:rPr>
          <w:rFonts w:ascii="Tahoma" w:hAnsi="Tahoma" w:cs="Tahoma"/>
          <w:sz w:val="20"/>
          <w:szCs w:val="20"/>
        </w:rPr>
        <w:t xml:space="preserve">Στην περίπτωση της συγκριτικής αξιολόγησης, αξιολογείται το σύνολο των προτάσεων που έχουν υποβληθεί κατά την χρονική περίοδο, η οποία ορίζεται ρητά στην Πρόσκληση. </w:t>
      </w:r>
      <w:r w:rsidRPr="00F22B9B">
        <w:rPr>
          <w:rFonts w:ascii="Tahoma" w:hAnsi="Tahoma" w:cs="Tahoma"/>
          <w:sz w:val="20"/>
          <w:szCs w:val="20"/>
        </w:rPr>
        <w:t>Με βάση τα αποτελέσματα της αξιολόγησης, παράγεται από το ΠΣΚΕ Πίνακας κατάταξης αποτελεσμάτων αξιολόγησης με φθίνουσα σειρά βαθμολόγησης, καθώς και πίνακας με όλες τις μη παραδεκτές αιτήσεις χρηματοδότησης. Οι αιτήσεις που τελικά χρηματοδοτούνται προκύπτουν με βάση τη σειρά κατάταξης στην κατάσταση αποτελεσμάτων αξιολόγησης των παραδεκτών αιτήσεων χρηματοδότησης, και μέχρι την</w:t>
      </w:r>
      <w:r w:rsidRPr="00FA4BC8">
        <w:rPr>
          <w:rFonts w:ascii="Tahoma" w:hAnsi="Tahoma" w:cs="Tahoma"/>
          <w:sz w:val="20"/>
          <w:szCs w:val="20"/>
        </w:rPr>
        <w:t xml:space="preserve"> εξάντληση του αντίστοιχου προϋπολογισμού της Πρόσκλησης.</w:t>
      </w:r>
      <w:r>
        <w:rPr>
          <w:rFonts w:ascii="Tahoma" w:hAnsi="Tahoma" w:cs="Tahoma"/>
          <w:sz w:val="20"/>
          <w:szCs w:val="20"/>
        </w:rPr>
        <w:t xml:space="preserve"> </w:t>
      </w:r>
    </w:p>
    <w:p w:rsidR="00817101" w:rsidRPr="008766D4" w:rsidRDefault="00817101" w:rsidP="00F22B9B">
      <w:pPr>
        <w:pStyle w:val="ListParagraph"/>
        <w:spacing w:after="120" w:line="280" w:lineRule="atLeast"/>
        <w:ind w:left="284"/>
        <w:rPr>
          <w:rFonts w:ascii="Tahoma" w:hAnsi="Tahoma" w:cs="Tahoma"/>
          <w:sz w:val="20"/>
          <w:szCs w:val="20"/>
        </w:rPr>
      </w:pPr>
      <w:r w:rsidRPr="008766D4">
        <w:rPr>
          <w:rFonts w:ascii="Tahoma" w:hAnsi="Tahoma" w:cs="Tahoma"/>
          <w:sz w:val="20"/>
          <w:szCs w:val="20"/>
        </w:rPr>
        <w:t xml:space="preserve">Με βάση τα παραπάνω, </w:t>
      </w:r>
      <w:r>
        <w:rPr>
          <w:rFonts w:ascii="Tahoma" w:hAnsi="Tahoma" w:cs="Tahoma"/>
          <w:sz w:val="20"/>
          <w:szCs w:val="20"/>
        </w:rPr>
        <w:t>τ</w:t>
      </w:r>
      <w:r w:rsidRPr="00FA4BC8">
        <w:rPr>
          <w:rFonts w:ascii="Tahoma" w:hAnsi="Tahoma" w:cs="Tahoma"/>
          <w:sz w:val="20"/>
          <w:szCs w:val="20"/>
        </w:rPr>
        <w:t xml:space="preserve">α αποτελέσματα αξιολόγησης </w:t>
      </w:r>
      <w:r>
        <w:rPr>
          <w:rFonts w:ascii="Tahoma" w:hAnsi="Tahoma" w:cs="Tahoma"/>
          <w:sz w:val="20"/>
          <w:szCs w:val="20"/>
        </w:rPr>
        <w:t>περιλαμβάνουν:</w:t>
      </w:r>
      <w:r w:rsidRPr="008766D4">
        <w:rPr>
          <w:rFonts w:ascii="Tahoma" w:hAnsi="Tahoma" w:cs="Tahoma"/>
          <w:sz w:val="20"/>
          <w:szCs w:val="20"/>
        </w:rPr>
        <w:t xml:space="preserve"> </w:t>
      </w:r>
    </w:p>
    <w:p w:rsidR="00817101" w:rsidRPr="008766D4" w:rsidRDefault="00817101" w:rsidP="00872B0C">
      <w:pPr>
        <w:pStyle w:val="ListParagraph"/>
        <w:numPr>
          <w:ilvl w:val="0"/>
          <w:numId w:val="41"/>
        </w:numPr>
        <w:spacing w:after="120" w:line="280" w:lineRule="atLeast"/>
        <w:ind w:left="1418" w:hanging="425"/>
        <w:rPr>
          <w:rFonts w:ascii="Tahoma" w:hAnsi="Tahoma" w:cs="Tahoma"/>
          <w:sz w:val="20"/>
          <w:szCs w:val="20"/>
        </w:rPr>
      </w:pPr>
      <w:r w:rsidRPr="008766D4">
        <w:rPr>
          <w:rFonts w:ascii="Tahoma" w:hAnsi="Tahoma" w:cs="Tahoma"/>
          <w:sz w:val="20"/>
          <w:szCs w:val="20"/>
        </w:rPr>
        <w:lastRenderedPageBreak/>
        <w:t xml:space="preserve">Πίνακα εγκεκριμένων αιτήσεων, </w:t>
      </w:r>
    </w:p>
    <w:p w:rsidR="00817101" w:rsidRPr="008766D4" w:rsidRDefault="00817101" w:rsidP="00872B0C">
      <w:pPr>
        <w:pStyle w:val="ListParagraph"/>
        <w:numPr>
          <w:ilvl w:val="0"/>
          <w:numId w:val="41"/>
        </w:numPr>
        <w:spacing w:after="120" w:line="280" w:lineRule="atLeast"/>
        <w:ind w:left="1418" w:hanging="425"/>
        <w:rPr>
          <w:rFonts w:ascii="Tahoma" w:hAnsi="Tahoma" w:cs="Tahoma"/>
          <w:sz w:val="20"/>
          <w:szCs w:val="20"/>
        </w:rPr>
      </w:pPr>
      <w:r w:rsidRPr="008766D4">
        <w:rPr>
          <w:rFonts w:ascii="Tahoma" w:hAnsi="Tahoma" w:cs="Tahoma"/>
          <w:sz w:val="20"/>
          <w:szCs w:val="20"/>
        </w:rPr>
        <w:t>Πίνακα εγκεκριμένων αιτήσεων μη ενισχυόμενων, λόγω εξάντλησης προϋπολογισμού πρόσκλησης</w:t>
      </w:r>
    </w:p>
    <w:p w:rsidR="00817101" w:rsidRPr="008766D4" w:rsidRDefault="00817101" w:rsidP="00872B0C">
      <w:pPr>
        <w:pStyle w:val="ListParagraph"/>
        <w:numPr>
          <w:ilvl w:val="0"/>
          <w:numId w:val="41"/>
        </w:numPr>
        <w:spacing w:after="120" w:line="280" w:lineRule="atLeast"/>
        <w:ind w:left="1418" w:hanging="425"/>
        <w:rPr>
          <w:rFonts w:ascii="Tahoma" w:hAnsi="Tahoma" w:cs="Tahoma"/>
          <w:sz w:val="20"/>
          <w:szCs w:val="20"/>
        </w:rPr>
      </w:pPr>
      <w:r w:rsidRPr="008766D4">
        <w:rPr>
          <w:rFonts w:ascii="Tahoma" w:hAnsi="Tahoma" w:cs="Tahoma"/>
          <w:sz w:val="20"/>
          <w:szCs w:val="20"/>
        </w:rPr>
        <w:t>Πίνακα απορριφθεισών αιτήσεων, λόγω αρνητικής αξιολόγησης</w:t>
      </w:r>
    </w:p>
    <w:p w:rsidR="00817101" w:rsidRPr="00FA4BC8" w:rsidRDefault="00817101" w:rsidP="009B365F">
      <w:pPr>
        <w:pStyle w:val="ListParagraph"/>
        <w:numPr>
          <w:ilvl w:val="1"/>
          <w:numId w:val="40"/>
        </w:numPr>
        <w:spacing w:after="120" w:line="280" w:lineRule="atLeast"/>
        <w:ind w:left="284" w:hanging="284"/>
        <w:rPr>
          <w:rFonts w:ascii="Tahoma" w:hAnsi="Tahoma" w:cs="Tahoma"/>
          <w:sz w:val="20"/>
          <w:szCs w:val="20"/>
        </w:rPr>
      </w:pPr>
      <w:r w:rsidRPr="008766D4">
        <w:rPr>
          <w:rFonts w:ascii="Tahoma" w:hAnsi="Tahoma" w:cs="Tahoma"/>
          <w:sz w:val="20"/>
          <w:szCs w:val="20"/>
        </w:rPr>
        <w:t>Η άμεση αξιολόγηση, αφορά στην αυτοτελή αξιολόγηση της κάθε αίτησης χρηματοδότησης, με βάσ</w:t>
      </w:r>
      <w:r w:rsidRPr="00FA4BC8">
        <w:rPr>
          <w:rFonts w:ascii="Tahoma" w:hAnsi="Tahoma" w:cs="Tahoma"/>
          <w:sz w:val="20"/>
          <w:szCs w:val="20"/>
        </w:rPr>
        <w:t xml:space="preserve">η την αρχή της χρονικής προτεραιότητας (first in- first out) και τους διαθέσιμους πόρους. Η αίτηση εγκρίνεται εφόσον καλύπτονται οι προϋποθέσεις που τίθενται από την Πρόσκληση, ενώ σε αντίθετη περίπτωση απορρίπτεται. </w:t>
      </w:r>
    </w:p>
    <w:p w:rsidR="00817101" w:rsidRDefault="00817101" w:rsidP="00B06F98">
      <w:pPr>
        <w:autoSpaceDE w:val="0"/>
        <w:autoSpaceDN w:val="0"/>
        <w:adjustRightInd w:val="0"/>
        <w:rPr>
          <w:rFonts w:ascii="Tahoma" w:hAnsi="Tahoma" w:cs="Tahoma"/>
          <w:sz w:val="20"/>
          <w:szCs w:val="20"/>
        </w:rPr>
      </w:pPr>
      <w:r>
        <w:rPr>
          <w:rFonts w:ascii="Tahoma" w:hAnsi="Tahoma" w:cs="Tahoma"/>
          <w:sz w:val="20"/>
          <w:szCs w:val="20"/>
        </w:rPr>
        <w:t>Η ΔΑ, κατά την επιλογή των αξιολογητών, διασφαλίζει</w:t>
      </w:r>
      <w:r w:rsidRPr="00FA4BC8">
        <w:rPr>
          <w:rFonts w:ascii="Tahoma" w:hAnsi="Tahoma" w:cs="Tahoma"/>
          <w:sz w:val="20"/>
          <w:szCs w:val="20"/>
        </w:rPr>
        <w:t xml:space="preserve"> ότι οι εμπλεκόμενοι στη διαδικασία αξιολόγησης διαθέτουν τα κατάλληλα </w:t>
      </w:r>
      <w:r>
        <w:rPr>
          <w:rFonts w:ascii="Tahoma" w:hAnsi="Tahoma" w:cs="Tahoma"/>
          <w:sz w:val="20"/>
          <w:szCs w:val="20"/>
        </w:rPr>
        <w:t xml:space="preserve">τυπικά και ουσιαστικά </w:t>
      </w:r>
      <w:r w:rsidRPr="00FA4BC8">
        <w:rPr>
          <w:rFonts w:ascii="Tahoma" w:hAnsi="Tahoma" w:cs="Tahoma"/>
          <w:sz w:val="20"/>
          <w:szCs w:val="20"/>
        </w:rPr>
        <w:t>προσόντα</w:t>
      </w:r>
      <w:r>
        <w:rPr>
          <w:rFonts w:ascii="Tahoma" w:hAnsi="Tahoma" w:cs="Tahoma"/>
          <w:sz w:val="20"/>
          <w:szCs w:val="20"/>
        </w:rPr>
        <w:t>,</w:t>
      </w:r>
      <w:r w:rsidRPr="00FA4BC8">
        <w:rPr>
          <w:rFonts w:ascii="Tahoma" w:hAnsi="Tahoma" w:cs="Tahoma"/>
          <w:sz w:val="20"/>
          <w:szCs w:val="20"/>
        </w:rPr>
        <w:t xml:space="preserve"> </w:t>
      </w:r>
      <w:r>
        <w:rPr>
          <w:rFonts w:ascii="Tahoma" w:hAnsi="Tahoma" w:cs="Tahoma"/>
          <w:sz w:val="20"/>
          <w:szCs w:val="20"/>
        </w:rPr>
        <w:t>ενώ εκπαιδεύονται σχετικά. Επιπλέον, διασφαλίζει ότι</w:t>
      </w:r>
      <w:r w:rsidRPr="00FA4BC8">
        <w:rPr>
          <w:rFonts w:ascii="Tahoma" w:hAnsi="Tahoma" w:cs="Tahoma"/>
          <w:sz w:val="20"/>
          <w:szCs w:val="20"/>
        </w:rPr>
        <w:t xml:space="preserve"> απολαμβάνουν πλήρους ανεξαρτησίας κατά την άσκηση των καθηκόντων </w:t>
      </w:r>
      <w:r>
        <w:rPr>
          <w:rFonts w:ascii="Tahoma" w:hAnsi="Tahoma" w:cs="Tahoma"/>
          <w:sz w:val="20"/>
          <w:szCs w:val="20"/>
        </w:rPr>
        <w:t>τους, μέσω της υποβολής δήλωσης μη σύγκρουσης συμφερόντων, στη βάση σχετικού εντύπου που τηρείται στο ΠΣΚΕ, όπου έχει πρόσβαση και η ΚΥ της ΜΟΔ Α.Ε.</w:t>
      </w:r>
    </w:p>
    <w:p w:rsidR="00817101" w:rsidRDefault="00817101" w:rsidP="00B06F98">
      <w:pPr>
        <w:autoSpaceDE w:val="0"/>
        <w:autoSpaceDN w:val="0"/>
        <w:adjustRightInd w:val="0"/>
        <w:rPr>
          <w:rFonts w:ascii="Tahoma" w:hAnsi="Tahoma" w:cs="Tahoma"/>
          <w:sz w:val="20"/>
          <w:szCs w:val="20"/>
        </w:rPr>
      </w:pPr>
      <w:r>
        <w:rPr>
          <w:rFonts w:ascii="Tahoma" w:hAnsi="Tahoma" w:cs="Tahoma"/>
          <w:sz w:val="20"/>
          <w:szCs w:val="20"/>
        </w:rPr>
        <w:t>Επίσης, η ΔΑ διασφαλίζει ότι τηρούνται τα προβλεπόμενα στον Καν. 1303/2013, μεταξύ άλλων:</w:t>
      </w:r>
    </w:p>
    <w:p w:rsidR="00817101" w:rsidRPr="00945322" w:rsidRDefault="00817101" w:rsidP="00B06F98">
      <w:pPr>
        <w:autoSpaceDE w:val="0"/>
        <w:autoSpaceDN w:val="0"/>
        <w:adjustRightInd w:val="0"/>
        <w:rPr>
          <w:rFonts w:ascii="Tahoma" w:hAnsi="Tahoma" w:cs="Tahoma"/>
          <w:sz w:val="20"/>
          <w:szCs w:val="20"/>
        </w:rPr>
      </w:pPr>
      <w:r>
        <w:rPr>
          <w:rFonts w:ascii="Tahoma" w:hAnsi="Tahoma" w:cs="Tahoma"/>
          <w:sz w:val="20"/>
          <w:szCs w:val="20"/>
        </w:rPr>
        <w:t>-  ότι η μεθοδολογία και</w:t>
      </w:r>
      <w:r w:rsidRPr="00945322">
        <w:rPr>
          <w:rFonts w:ascii="Tahoma" w:hAnsi="Tahoma" w:cs="Tahoma"/>
          <w:sz w:val="20"/>
          <w:szCs w:val="20"/>
        </w:rPr>
        <w:t xml:space="preserve"> τα κριτήρια επιλογής</w:t>
      </w:r>
      <w:r>
        <w:rPr>
          <w:rFonts w:ascii="Tahoma" w:hAnsi="Tahoma" w:cs="Tahoma"/>
          <w:sz w:val="20"/>
          <w:szCs w:val="20"/>
        </w:rPr>
        <w:t>, όπως περιγράφονται στην αντίστοιχη πρόσκληση και, κατά περίπτωση, στον Οδηγό Εφαρμογής</w:t>
      </w:r>
      <w:r w:rsidRPr="00945322">
        <w:rPr>
          <w:rFonts w:ascii="Tahoma" w:hAnsi="Tahoma" w:cs="Tahoma"/>
          <w:sz w:val="20"/>
          <w:szCs w:val="20"/>
        </w:rPr>
        <w:t>:</w:t>
      </w:r>
    </w:p>
    <w:p w:rsidR="00817101" w:rsidRPr="00945322" w:rsidRDefault="00817101" w:rsidP="00B06F98">
      <w:pPr>
        <w:autoSpaceDE w:val="0"/>
        <w:autoSpaceDN w:val="0"/>
        <w:adjustRightInd w:val="0"/>
        <w:ind w:left="1440"/>
        <w:rPr>
          <w:rFonts w:ascii="Tahoma" w:hAnsi="Tahoma" w:cs="Tahoma"/>
          <w:sz w:val="20"/>
          <w:szCs w:val="20"/>
        </w:rPr>
      </w:pPr>
      <w:r w:rsidRPr="00945322">
        <w:rPr>
          <w:rFonts w:ascii="Tahoma" w:hAnsi="Tahoma" w:cs="Tahoma"/>
          <w:sz w:val="20"/>
          <w:szCs w:val="20"/>
        </w:rPr>
        <w:t>α) δεν εισάγουν διακρίσεις και είναι διαφανή·</w:t>
      </w:r>
    </w:p>
    <w:p w:rsidR="00817101" w:rsidRPr="00945322" w:rsidRDefault="00817101" w:rsidP="00B06F98">
      <w:pPr>
        <w:autoSpaceDE w:val="0"/>
        <w:autoSpaceDN w:val="0"/>
        <w:adjustRightInd w:val="0"/>
        <w:ind w:left="1440"/>
        <w:rPr>
          <w:rFonts w:ascii="Tahoma" w:hAnsi="Tahoma" w:cs="Tahoma"/>
          <w:sz w:val="20"/>
          <w:szCs w:val="20"/>
        </w:rPr>
      </w:pPr>
      <w:r w:rsidRPr="00945322">
        <w:rPr>
          <w:rFonts w:ascii="Tahoma" w:hAnsi="Tahoma" w:cs="Tahoma"/>
          <w:sz w:val="20"/>
          <w:szCs w:val="20"/>
        </w:rPr>
        <w:t>β) διασφαλίζουν τη συμβολή των πράξεων στην επίτευξη των ειδικών στόχων και των αποτελεσμάτων της σχετικής προτεραιότητας·</w:t>
      </w:r>
    </w:p>
    <w:p w:rsidR="00817101" w:rsidRPr="00945322" w:rsidRDefault="00817101" w:rsidP="00B06F98">
      <w:pPr>
        <w:autoSpaceDE w:val="0"/>
        <w:autoSpaceDN w:val="0"/>
        <w:adjustRightInd w:val="0"/>
        <w:ind w:left="1440"/>
        <w:rPr>
          <w:rFonts w:ascii="Tahoma" w:hAnsi="Tahoma" w:cs="Tahoma"/>
          <w:sz w:val="20"/>
          <w:szCs w:val="20"/>
        </w:rPr>
      </w:pPr>
      <w:r w:rsidRPr="00945322">
        <w:rPr>
          <w:rFonts w:ascii="Tahoma" w:hAnsi="Tahoma" w:cs="Tahoma"/>
          <w:sz w:val="20"/>
          <w:szCs w:val="20"/>
        </w:rPr>
        <w:t xml:space="preserve">γ) λαμβάνουν υπόψη την προώθηση της ισότητας μεταξύ ανδρών και γυναικών και τηρούν τις αρχές της βιώσιμης ανάπτυξης όπως ορίζεται στα άρθρα 7 και 8 </w:t>
      </w:r>
      <w:r>
        <w:rPr>
          <w:rFonts w:ascii="Tahoma" w:hAnsi="Tahoma" w:cs="Tahoma"/>
          <w:sz w:val="20"/>
          <w:szCs w:val="20"/>
        </w:rPr>
        <w:t xml:space="preserve">του </w:t>
      </w:r>
      <w:r w:rsidRPr="00945322">
        <w:rPr>
          <w:rFonts w:ascii="Tahoma" w:hAnsi="Tahoma" w:cs="Tahoma"/>
          <w:sz w:val="20"/>
          <w:szCs w:val="20"/>
        </w:rPr>
        <w:t>Κ</w:t>
      </w:r>
      <w:r>
        <w:rPr>
          <w:rFonts w:ascii="Tahoma" w:hAnsi="Tahoma" w:cs="Tahoma"/>
          <w:sz w:val="20"/>
          <w:szCs w:val="20"/>
        </w:rPr>
        <w:t>ανονισμού 1303/2013</w:t>
      </w:r>
      <w:r w:rsidRPr="00945322">
        <w:rPr>
          <w:rFonts w:ascii="Tahoma" w:hAnsi="Tahoma" w:cs="Tahoma"/>
          <w:sz w:val="20"/>
          <w:szCs w:val="20"/>
        </w:rPr>
        <w:t>·</w:t>
      </w:r>
    </w:p>
    <w:p w:rsidR="00817101" w:rsidRPr="00945322" w:rsidRDefault="00817101" w:rsidP="00B06F98">
      <w:pPr>
        <w:spacing w:after="120" w:line="280" w:lineRule="atLeast"/>
        <w:rPr>
          <w:rFonts w:ascii="Tahoma" w:hAnsi="Tahoma" w:cs="Tahoma"/>
          <w:sz w:val="20"/>
          <w:szCs w:val="20"/>
        </w:rPr>
      </w:pPr>
      <w:r>
        <w:rPr>
          <w:rFonts w:ascii="Tahoma" w:hAnsi="Tahoma" w:cs="Tahoma"/>
          <w:sz w:val="20"/>
          <w:szCs w:val="20"/>
        </w:rPr>
        <w:t xml:space="preserve">- </w:t>
      </w:r>
      <w:r w:rsidRPr="00945322">
        <w:rPr>
          <w:rFonts w:ascii="Tahoma" w:hAnsi="Tahoma" w:cs="Tahoma"/>
          <w:sz w:val="20"/>
          <w:szCs w:val="20"/>
        </w:rPr>
        <w:t>και ότι οι πράξεις δεν επιλέγονται εάν έχει ολοκληρωθεί το φυσικό αντικείμενο ή έχουν υλοποιηθεί πλήρως πριν από την υποβολή της αίτησης χρηματοδότησης από τον δικαιούχο.</w:t>
      </w:r>
    </w:p>
    <w:p w:rsidR="00817101" w:rsidRPr="00FA4BC8" w:rsidRDefault="00817101" w:rsidP="009B365F">
      <w:pPr>
        <w:pStyle w:val="ListParagraph"/>
        <w:keepNext/>
        <w:numPr>
          <w:ilvl w:val="0"/>
          <w:numId w:val="38"/>
        </w:numPr>
        <w:spacing w:after="120" w:line="280" w:lineRule="atLeast"/>
        <w:ind w:left="284" w:hanging="284"/>
        <w:rPr>
          <w:rFonts w:ascii="Tahoma" w:hAnsi="Tahoma" w:cs="Tahoma"/>
          <w:bCs/>
          <w:i/>
          <w:color w:val="990000"/>
          <w:sz w:val="20"/>
          <w:szCs w:val="20"/>
        </w:rPr>
      </w:pPr>
      <w:r w:rsidRPr="00FA4BC8">
        <w:rPr>
          <w:rFonts w:ascii="Tahoma" w:hAnsi="Tahoma" w:cs="Tahoma"/>
          <w:bCs/>
          <w:i/>
          <w:color w:val="990000"/>
          <w:sz w:val="20"/>
          <w:szCs w:val="20"/>
        </w:rPr>
        <w:t>Αρχειοθέτηση στοιχείων αξιολόγησης</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 xml:space="preserve">Με ευθύνη της αρμόδιας ΔΑ, αρχειοθετούνται όλα τα στοιχεία της αξιολόγησης. </w:t>
      </w:r>
    </w:p>
    <w:p w:rsidR="00817101" w:rsidRPr="00FA4BC8" w:rsidRDefault="00817101" w:rsidP="009B365F">
      <w:pPr>
        <w:pStyle w:val="ListParagraph"/>
        <w:keepNext/>
        <w:numPr>
          <w:ilvl w:val="0"/>
          <w:numId w:val="38"/>
        </w:numPr>
        <w:spacing w:after="120" w:line="280" w:lineRule="atLeast"/>
        <w:ind w:left="284" w:hanging="284"/>
        <w:rPr>
          <w:rFonts w:ascii="Tahoma" w:hAnsi="Tahoma" w:cs="Tahoma"/>
          <w:bCs/>
          <w:i/>
          <w:color w:val="990000"/>
          <w:sz w:val="20"/>
          <w:szCs w:val="20"/>
        </w:rPr>
      </w:pPr>
      <w:r w:rsidRPr="00FA4BC8">
        <w:rPr>
          <w:rFonts w:ascii="Tahoma" w:hAnsi="Tahoma" w:cs="Tahoma"/>
          <w:bCs/>
          <w:i/>
          <w:color w:val="990000"/>
          <w:sz w:val="20"/>
          <w:szCs w:val="20"/>
        </w:rPr>
        <w:t xml:space="preserve"> Έγκριση αποτελεσμάτων αξιολόγησης </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Τα αποτελέσματα αξιολόγησης εγκρίνονται με απόφαση του οργάνου που προβλέπεται στην Πρόσκληση,  και σύμφωνα με τις προβλεπόμενες σε αυτή διαδικασίες.</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Μετά το τέλος του σημείου 4.</w:t>
      </w:r>
      <w:r>
        <w:rPr>
          <w:rFonts w:ascii="Tahoma" w:hAnsi="Tahoma" w:cs="Tahoma"/>
          <w:sz w:val="20"/>
          <w:szCs w:val="20"/>
        </w:rPr>
        <w:t>3</w:t>
      </w:r>
      <w:r w:rsidRPr="00FA4BC8">
        <w:rPr>
          <w:rFonts w:ascii="Tahoma" w:hAnsi="Tahoma" w:cs="Tahoma"/>
          <w:sz w:val="20"/>
          <w:szCs w:val="20"/>
        </w:rPr>
        <w:t>, εκτελούνται παράλληλα τα σημεία 4.</w:t>
      </w:r>
      <w:r>
        <w:rPr>
          <w:rFonts w:ascii="Tahoma" w:hAnsi="Tahoma" w:cs="Tahoma"/>
          <w:sz w:val="20"/>
          <w:szCs w:val="20"/>
        </w:rPr>
        <w:t>4</w:t>
      </w:r>
      <w:r w:rsidRPr="00FA4BC8">
        <w:rPr>
          <w:rFonts w:ascii="Tahoma" w:hAnsi="Tahoma" w:cs="Tahoma"/>
          <w:sz w:val="20"/>
          <w:szCs w:val="20"/>
        </w:rPr>
        <w:t xml:space="preserve"> και 4.</w:t>
      </w:r>
      <w:r>
        <w:rPr>
          <w:rFonts w:ascii="Tahoma" w:hAnsi="Tahoma" w:cs="Tahoma"/>
          <w:sz w:val="20"/>
          <w:szCs w:val="20"/>
        </w:rPr>
        <w:t>5</w:t>
      </w:r>
      <w:r w:rsidRPr="00FA4BC8">
        <w:rPr>
          <w:rFonts w:ascii="Tahoma" w:hAnsi="Tahoma" w:cs="Tahoma"/>
          <w:sz w:val="20"/>
          <w:szCs w:val="20"/>
        </w:rPr>
        <w:t>-4.</w:t>
      </w:r>
      <w:r>
        <w:rPr>
          <w:rFonts w:ascii="Tahoma" w:hAnsi="Tahoma" w:cs="Tahoma"/>
          <w:sz w:val="20"/>
          <w:szCs w:val="20"/>
        </w:rPr>
        <w:t>6</w:t>
      </w:r>
      <w:r w:rsidRPr="00FA4BC8">
        <w:rPr>
          <w:rFonts w:ascii="Tahoma" w:hAnsi="Tahoma" w:cs="Tahoma"/>
          <w:sz w:val="20"/>
          <w:szCs w:val="20"/>
        </w:rPr>
        <w:t xml:space="preserve"> κατωτέρω.</w:t>
      </w:r>
      <w:r>
        <w:rPr>
          <w:rFonts w:ascii="Tahoma" w:hAnsi="Tahoma" w:cs="Tahoma"/>
          <w:sz w:val="20"/>
          <w:szCs w:val="20"/>
        </w:rPr>
        <w:t xml:space="preserve"> </w:t>
      </w:r>
    </w:p>
    <w:p w:rsidR="00817101" w:rsidRPr="00FA4BC8" w:rsidRDefault="00817101" w:rsidP="009B365F">
      <w:pPr>
        <w:pStyle w:val="ListParagraph"/>
        <w:keepNext/>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Έκδοση Απόφασης Ένταξης Πράξεων - Απόφαση Έγκρισης Χρηματοδότησης Πράξεων</w:t>
      </w:r>
    </w:p>
    <w:p w:rsidR="00817101" w:rsidRDefault="00817101" w:rsidP="00FA4BC8">
      <w:pPr>
        <w:spacing w:after="120" w:line="280" w:lineRule="atLeast"/>
        <w:rPr>
          <w:rFonts w:ascii="Tahoma" w:hAnsi="Tahoma" w:cs="Tahoma"/>
          <w:sz w:val="20"/>
          <w:szCs w:val="20"/>
        </w:rPr>
      </w:pPr>
      <w:r w:rsidRPr="00FA4BC8">
        <w:rPr>
          <w:rFonts w:ascii="Tahoma" w:hAnsi="Tahoma" w:cs="Tahoma"/>
          <w:sz w:val="20"/>
          <w:szCs w:val="20"/>
        </w:rPr>
        <w:t xml:space="preserve">Με την έγκριση των αποτελεσμάτων της διαδικασίας αξιολόγησης, οριστικοποιούνται από τη ΔΑ στο ΠΣΚΕ τα στοιχεία των εγκεκριμένων </w:t>
      </w:r>
      <w:r>
        <w:rPr>
          <w:rFonts w:ascii="Tahoma" w:hAnsi="Tahoma" w:cs="Tahoma"/>
          <w:sz w:val="20"/>
          <w:szCs w:val="20"/>
        </w:rPr>
        <w:t>αιτήσεων</w:t>
      </w:r>
      <w:r w:rsidRPr="00FA4BC8">
        <w:rPr>
          <w:rFonts w:ascii="Tahoma" w:hAnsi="Tahoma" w:cs="Tahoma"/>
          <w:sz w:val="20"/>
          <w:szCs w:val="20"/>
        </w:rPr>
        <w:t xml:space="preserve">, δημιουργούνται στο ΟΠΣ ΕΣΠΑ τα αντίστοιχα Τεχνικά Δελτία Πράξης, αποδίδονται οι σχετικοί κωδικοί </w:t>
      </w:r>
      <w:r w:rsidRPr="00FA4BC8">
        <w:rPr>
          <w:rFonts w:ascii="Tahoma" w:hAnsi="Tahoma" w:cs="Tahoma"/>
          <w:sz w:val="20"/>
          <w:szCs w:val="20"/>
          <w:lang w:val="en-US"/>
        </w:rPr>
        <w:t>MIS</w:t>
      </w:r>
      <w:r w:rsidRPr="00FA4BC8">
        <w:rPr>
          <w:rFonts w:ascii="Tahoma" w:hAnsi="Tahoma" w:cs="Tahoma"/>
          <w:sz w:val="20"/>
          <w:szCs w:val="20"/>
        </w:rPr>
        <w:t xml:space="preserve"> και εκδίδεται η Απ</w:t>
      </w:r>
      <w:r>
        <w:rPr>
          <w:rFonts w:ascii="Tahoma" w:hAnsi="Tahoma" w:cs="Tahoma"/>
          <w:sz w:val="20"/>
          <w:szCs w:val="20"/>
        </w:rPr>
        <w:t>όφασης Ένταξης Πράξεων, για το σύνολο</w:t>
      </w:r>
      <w:r w:rsidRPr="00FA4BC8">
        <w:rPr>
          <w:rFonts w:ascii="Tahoma" w:hAnsi="Tahoma" w:cs="Tahoma"/>
          <w:sz w:val="20"/>
          <w:szCs w:val="20"/>
        </w:rPr>
        <w:t xml:space="preserve"> των εγκεκριμένων προτάσεων, στο οικείο Επιχειρησιακό Πρόγραμμα</w:t>
      </w:r>
      <w:r>
        <w:rPr>
          <w:rFonts w:ascii="Tahoma" w:hAnsi="Tahoma" w:cs="Tahoma"/>
          <w:sz w:val="20"/>
          <w:szCs w:val="20"/>
        </w:rPr>
        <w:t xml:space="preserve"> (ή </w:t>
      </w:r>
      <w:r w:rsidRPr="00FA4BC8">
        <w:rPr>
          <w:rFonts w:ascii="Tahoma" w:hAnsi="Tahoma" w:cs="Tahoma"/>
          <w:sz w:val="20"/>
          <w:szCs w:val="20"/>
        </w:rPr>
        <w:t>στ</w:t>
      </w:r>
      <w:r>
        <w:rPr>
          <w:rFonts w:ascii="Tahoma" w:hAnsi="Tahoma" w:cs="Tahoma"/>
          <w:sz w:val="20"/>
          <w:szCs w:val="20"/>
        </w:rPr>
        <w:t>α</w:t>
      </w:r>
      <w:r w:rsidRPr="00FA4BC8">
        <w:rPr>
          <w:rFonts w:ascii="Tahoma" w:hAnsi="Tahoma" w:cs="Tahoma"/>
          <w:sz w:val="20"/>
          <w:szCs w:val="20"/>
        </w:rPr>
        <w:t xml:space="preserve"> οικεί</w:t>
      </w:r>
      <w:r>
        <w:rPr>
          <w:rFonts w:ascii="Tahoma" w:hAnsi="Tahoma" w:cs="Tahoma"/>
          <w:sz w:val="20"/>
          <w:szCs w:val="20"/>
        </w:rPr>
        <w:t>α</w:t>
      </w:r>
      <w:r w:rsidRPr="00FA4BC8">
        <w:rPr>
          <w:rFonts w:ascii="Tahoma" w:hAnsi="Tahoma" w:cs="Tahoma"/>
          <w:sz w:val="20"/>
          <w:szCs w:val="20"/>
        </w:rPr>
        <w:t xml:space="preserve"> Επιχειρησιακ</w:t>
      </w:r>
      <w:r>
        <w:rPr>
          <w:rFonts w:ascii="Tahoma" w:hAnsi="Tahoma" w:cs="Tahoma"/>
          <w:sz w:val="20"/>
          <w:szCs w:val="20"/>
        </w:rPr>
        <w:t>ά Προ</w:t>
      </w:r>
      <w:r w:rsidRPr="00FA4BC8">
        <w:rPr>
          <w:rFonts w:ascii="Tahoma" w:hAnsi="Tahoma" w:cs="Tahoma"/>
          <w:sz w:val="20"/>
          <w:szCs w:val="20"/>
        </w:rPr>
        <w:t>γρ</w:t>
      </w:r>
      <w:r>
        <w:rPr>
          <w:rFonts w:ascii="Tahoma" w:hAnsi="Tahoma" w:cs="Tahoma"/>
          <w:sz w:val="20"/>
          <w:szCs w:val="20"/>
        </w:rPr>
        <w:t>ά</w:t>
      </w:r>
      <w:r w:rsidRPr="00FA4BC8">
        <w:rPr>
          <w:rFonts w:ascii="Tahoma" w:hAnsi="Tahoma" w:cs="Tahoma"/>
          <w:sz w:val="20"/>
          <w:szCs w:val="20"/>
        </w:rPr>
        <w:t>μμα</w:t>
      </w:r>
      <w:r>
        <w:rPr>
          <w:rFonts w:ascii="Tahoma" w:hAnsi="Tahoma" w:cs="Tahoma"/>
          <w:sz w:val="20"/>
          <w:szCs w:val="20"/>
        </w:rPr>
        <w:t xml:space="preserve">τα). Η Απόφαση Ένταξης Πράξεων στο/στα ΕΠ </w:t>
      </w:r>
      <w:r w:rsidRPr="00FA4BC8">
        <w:rPr>
          <w:rFonts w:ascii="Tahoma" w:hAnsi="Tahoma" w:cs="Tahoma"/>
          <w:sz w:val="20"/>
          <w:szCs w:val="20"/>
        </w:rPr>
        <w:t>αποτελεί αυτοδίκαιη πρόταση εγγραφής στο ΠΔΕ</w:t>
      </w:r>
      <w:r w:rsidRPr="003A055F">
        <w:rPr>
          <w:rFonts w:ascii="Tahoma" w:hAnsi="Tahoma" w:cs="Tahoma"/>
          <w:sz w:val="20"/>
          <w:szCs w:val="20"/>
        </w:rPr>
        <w:t xml:space="preserve"> </w:t>
      </w:r>
      <w:r>
        <w:rPr>
          <w:rFonts w:ascii="Tahoma" w:hAnsi="Tahoma" w:cs="Tahoma"/>
          <w:sz w:val="20"/>
          <w:szCs w:val="20"/>
        </w:rPr>
        <w:t xml:space="preserve">και </w:t>
      </w:r>
      <w:r w:rsidRPr="00FA4BC8">
        <w:rPr>
          <w:rFonts w:ascii="Tahoma" w:hAnsi="Tahoma" w:cs="Tahoma"/>
          <w:sz w:val="20"/>
          <w:szCs w:val="20"/>
        </w:rPr>
        <w:t xml:space="preserve">δημοσιεύεται στη «Διαύγεια» μέσω του ΟΠΣ. </w:t>
      </w:r>
    </w:p>
    <w:p w:rsidR="00817101" w:rsidRPr="00FA4BC8" w:rsidRDefault="00817101" w:rsidP="00FA4BC8">
      <w:pPr>
        <w:spacing w:after="120" w:line="280" w:lineRule="atLeast"/>
        <w:rPr>
          <w:rFonts w:ascii="Tahoma" w:hAnsi="Tahoma" w:cs="Tahoma"/>
          <w:sz w:val="20"/>
          <w:szCs w:val="20"/>
        </w:rPr>
      </w:pPr>
      <w:r>
        <w:rPr>
          <w:rFonts w:ascii="Tahoma" w:hAnsi="Tahoma" w:cs="Tahoma"/>
          <w:sz w:val="20"/>
          <w:szCs w:val="20"/>
        </w:rPr>
        <w:t xml:space="preserve">Ανάλογα με το αρμόδιο όργανο για την </w:t>
      </w:r>
      <w:r w:rsidRPr="00FA4BC8">
        <w:rPr>
          <w:rFonts w:ascii="Tahoma" w:hAnsi="Tahoma" w:cs="Tahoma"/>
          <w:sz w:val="20"/>
          <w:szCs w:val="20"/>
        </w:rPr>
        <w:t>έγκριση της  χρηματοδότησης τ</w:t>
      </w:r>
      <w:r>
        <w:rPr>
          <w:rFonts w:ascii="Tahoma" w:hAnsi="Tahoma" w:cs="Tahoma"/>
          <w:sz w:val="20"/>
          <w:szCs w:val="20"/>
        </w:rPr>
        <w:t>ων</w:t>
      </w:r>
      <w:r w:rsidRPr="00FA4BC8">
        <w:rPr>
          <w:rFonts w:ascii="Tahoma" w:hAnsi="Tahoma" w:cs="Tahoma"/>
          <w:sz w:val="20"/>
          <w:szCs w:val="20"/>
        </w:rPr>
        <w:t xml:space="preserve"> Πράξ</w:t>
      </w:r>
      <w:r>
        <w:rPr>
          <w:rFonts w:ascii="Tahoma" w:hAnsi="Tahoma" w:cs="Tahoma"/>
          <w:sz w:val="20"/>
          <w:szCs w:val="20"/>
        </w:rPr>
        <w:t>εων διακρίνονται δύο περιπτώσεις:</w:t>
      </w:r>
    </w:p>
    <w:p w:rsidR="00817101" w:rsidRPr="00FA4BC8" w:rsidRDefault="00817101" w:rsidP="00FA4BC8">
      <w:pPr>
        <w:spacing w:after="120" w:line="280" w:lineRule="atLeast"/>
        <w:rPr>
          <w:rFonts w:ascii="Tahoma" w:hAnsi="Tahoma" w:cs="Tahoma"/>
          <w:sz w:val="20"/>
          <w:szCs w:val="20"/>
        </w:rPr>
      </w:pPr>
      <w:r>
        <w:rPr>
          <w:rFonts w:ascii="Tahoma" w:hAnsi="Tahoma" w:cs="Tahoma"/>
          <w:sz w:val="20"/>
          <w:szCs w:val="20"/>
        </w:rPr>
        <w:t xml:space="preserve">Α. </w:t>
      </w:r>
      <w:r w:rsidRPr="00FA4BC8">
        <w:rPr>
          <w:rFonts w:ascii="Tahoma" w:hAnsi="Tahoma" w:cs="Tahoma"/>
          <w:sz w:val="20"/>
          <w:szCs w:val="20"/>
        </w:rPr>
        <w:t>Η Απόφαση Ένταξης Πράξεων στο</w:t>
      </w:r>
      <w:r>
        <w:rPr>
          <w:rFonts w:ascii="Tahoma" w:hAnsi="Tahoma" w:cs="Tahoma"/>
          <w:sz w:val="20"/>
          <w:szCs w:val="20"/>
        </w:rPr>
        <w:t xml:space="preserve"> (στα)</w:t>
      </w:r>
      <w:r w:rsidRPr="00FA4BC8">
        <w:rPr>
          <w:rFonts w:ascii="Tahoma" w:hAnsi="Tahoma" w:cs="Tahoma"/>
          <w:sz w:val="20"/>
          <w:szCs w:val="20"/>
        </w:rPr>
        <w:t xml:space="preserve"> ΕΠ, βάσει του τυποποιημένου εντύπου </w:t>
      </w:r>
      <w:r>
        <w:rPr>
          <w:rFonts w:ascii="Tahoma" w:hAnsi="Tahoma" w:cs="Tahoma"/>
          <w:sz w:val="20"/>
          <w:szCs w:val="20"/>
        </w:rPr>
        <w:t>Ε.</w:t>
      </w:r>
      <w:r>
        <w:rPr>
          <w:rFonts w:ascii="Tahoma" w:hAnsi="Tahoma" w:cs="Tahoma"/>
          <w:sz w:val="20"/>
          <w:szCs w:val="20"/>
          <w:lang w:val="en-US"/>
        </w:rPr>
        <w:t>I</w:t>
      </w:r>
      <w:r w:rsidRPr="005F6C82">
        <w:rPr>
          <w:rFonts w:ascii="Tahoma" w:hAnsi="Tahoma" w:cs="Tahoma"/>
          <w:sz w:val="20"/>
          <w:szCs w:val="20"/>
        </w:rPr>
        <w:t>.</w:t>
      </w:r>
      <w:r>
        <w:rPr>
          <w:rFonts w:ascii="Tahoma" w:hAnsi="Tahoma" w:cs="Tahoma"/>
          <w:sz w:val="20"/>
          <w:szCs w:val="20"/>
        </w:rPr>
        <w:t xml:space="preserve">2._ΚΕ_1 </w:t>
      </w:r>
      <w:r w:rsidRPr="00FA4BC8">
        <w:rPr>
          <w:rFonts w:ascii="Tahoma" w:hAnsi="Tahoma" w:cs="Tahoma"/>
          <w:sz w:val="20"/>
          <w:szCs w:val="20"/>
        </w:rPr>
        <w:t xml:space="preserve">που παράγεται από το ΟΠΣ μέσω των στοιχείων του ΠΣΚΕ, περιλαμβάνει, μεταξύ άλλων, τους Πίνακες Αποτελεσμάτων της Αξιολόγησης και τους κωδικούς </w:t>
      </w:r>
      <w:r w:rsidRPr="00FA4BC8">
        <w:rPr>
          <w:rFonts w:ascii="Tahoma" w:hAnsi="Tahoma" w:cs="Tahoma"/>
          <w:sz w:val="20"/>
          <w:szCs w:val="20"/>
          <w:lang w:val="en-US"/>
        </w:rPr>
        <w:t>MIS</w:t>
      </w:r>
      <w:r w:rsidRPr="00FA4BC8">
        <w:rPr>
          <w:rFonts w:ascii="Tahoma" w:hAnsi="Tahoma" w:cs="Tahoma"/>
          <w:sz w:val="20"/>
          <w:szCs w:val="20"/>
        </w:rPr>
        <w:t xml:space="preserve"> των εγκεκριμένων Αιτήσεων Χρηματοδότησης Πράξεων. Εκδίδεται από τον Γενικό ή Ειδικό Γραμματέα (όταν πρόκειται για τομεακά ΕΠ) ή τον Περιφερειάρχη (όταν πρόκειται για ΠΕΠ), μετά από εισήγηση του Προϊσταμένου της ΔΑ/ ΕΦ. Η ημερομηνία δημοσίευσης τεκμαίρεται ως το χρονικό σημείο ανάληψης δέσμευσης για τη χρηματοδότηση του Δικαιούχου. </w:t>
      </w:r>
    </w:p>
    <w:p w:rsidR="00817101" w:rsidRDefault="00817101" w:rsidP="00FA4BC8">
      <w:pPr>
        <w:spacing w:after="120" w:line="280" w:lineRule="atLeast"/>
        <w:rPr>
          <w:rFonts w:ascii="Tahoma" w:hAnsi="Tahoma" w:cs="Tahoma"/>
          <w:sz w:val="20"/>
          <w:szCs w:val="20"/>
        </w:rPr>
      </w:pPr>
      <w:r>
        <w:rPr>
          <w:rFonts w:ascii="Tahoma" w:hAnsi="Tahoma" w:cs="Tahoma"/>
          <w:sz w:val="20"/>
          <w:szCs w:val="20"/>
        </w:rPr>
        <w:t xml:space="preserve">Β. </w:t>
      </w:r>
      <w:r w:rsidRPr="00FA4BC8">
        <w:rPr>
          <w:rFonts w:ascii="Tahoma" w:hAnsi="Tahoma" w:cs="Tahoma"/>
          <w:sz w:val="20"/>
          <w:szCs w:val="20"/>
        </w:rPr>
        <w:t>Στις περιπτώσεις που το αρμόδιο όργανο, βάσει του θεσμικού του πλαισίου, για την έγκριση της  χρηματοδότησης τ</w:t>
      </w:r>
      <w:r>
        <w:rPr>
          <w:rFonts w:ascii="Tahoma" w:hAnsi="Tahoma" w:cs="Tahoma"/>
          <w:sz w:val="20"/>
          <w:szCs w:val="20"/>
        </w:rPr>
        <w:t>ων</w:t>
      </w:r>
      <w:r w:rsidRPr="00FA4BC8">
        <w:rPr>
          <w:rFonts w:ascii="Tahoma" w:hAnsi="Tahoma" w:cs="Tahoma"/>
          <w:sz w:val="20"/>
          <w:szCs w:val="20"/>
        </w:rPr>
        <w:t xml:space="preserve"> Πράξ</w:t>
      </w:r>
      <w:r>
        <w:rPr>
          <w:rFonts w:ascii="Tahoma" w:hAnsi="Tahoma" w:cs="Tahoma"/>
          <w:sz w:val="20"/>
          <w:szCs w:val="20"/>
        </w:rPr>
        <w:t>εων</w:t>
      </w:r>
      <w:r w:rsidRPr="00FA4BC8">
        <w:rPr>
          <w:rFonts w:ascii="Tahoma" w:hAnsi="Tahoma" w:cs="Tahoma"/>
          <w:sz w:val="20"/>
          <w:szCs w:val="20"/>
        </w:rPr>
        <w:t xml:space="preserve">, είναι διαφορετικό από αυτό που εκδίδει την Απόφαση Ένταξης Πράξεων στο ΕΠ, δύναται να προηγείται η έκδοση από το αρμόδιο όργανο σχετικής Απόφασης Έγκρισης Χρηματοδότησης Πράξεων, παραγόμενη από το ΠΣΚΕ για το σύνολο των εγκεκριμένων Πράξεων στο πλαίσιο της ίδιας Πρόσκλησης/Δράσης, η οποία δημοσιεύεται στη «Διαύγεια». Η ημερομηνία δημοσίευσης τεκμαίρεται ως το χρονικό σημείο ανάληψης δέσμευσης για τη χρηματοδότηση/ενίσχυση του Δικαιούχου.   </w:t>
      </w:r>
    </w:p>
    <w:p w:rsidR="00817101" w:rsidRPr="001F0978" w:rsidRDefault="00817101" w:rsidP="00FA4BC8">
      <w:pPr>
        <w:spacing w:after="120" w:line="280" w:lineRule="atLeast"/>
        <w:rPr>
          <w:rFonts w:ascii="Tahoma" w:hAnsi="Tahoma" w:cs="Tahoma"/>
          <w:sz w:val="20"/>
          <w:szCs w:val="20"/>
        </w:rPr>
      </w:pPr>
      <w:r>
        <w:rPr>
          <w:rFonts w:ascii="Tahoma" w:hAnsi="Tahoma" w:cs="Tahoma"/>
          <w:sz w:val="20"/>
          <w:szCs w:val="20"/>
        </w:rPr>
        <w:t>Τόσο στην περίπτωση Α. όσο και Β. ανωτέρω, ο</w:t>
      </w:r>
      <w:r w:rsidRPr="00FA4BC8">
        <w:rPr>
          <w:rFonts w:ascii="Tahoma" w:hAnsi="Tahoma" w:cs="Tahoma"/>
          <w:sz w:val="20"/>
          <w:szCs w:val="20"/>
        </w:rPr>
        <w:t xml:space="preserve">ι επιμέρους όροι και προϋποθέσεις χορήγησης της </w:t>
      </w:r>
      <w:r w:rsidRPr="00F3457D">
        <w:rPr>
          <w:rFonts w:ascii="Tahoma" w:hAnsi="Tahoma" w:cs="Tahoma"/>
          <w:sz w:val="20"/>
          <w:szCs w:val="20"/>
        </w:rPr>
        <w:t xml:space="preserve">χρηματοδότησης, </w:t>
      </w:r>
      <w:r w:rsidRPr="00F3457D">
        <w:rPr>
          <w:rFonts w:ascii="Tahoma" w:hAnsi="Tahoma" w:cs="Tahoma"/>
          <w:sz w:val="20"/>
          <w:szCs w:val="20"/>
          <w:lang w:eastAsia="en-US"/>
        </w:rPr>
        <w:t>που απορρέουν τόσο από το καθεστώς ενίσχυσης όσο και από τους Κανονισμούς των ΕΔΕΤ,</w:t>
      </w:r>
      <w:r w:rsidRPr="00F3457D">
        <w:rPr>
          <w:rFonts w:ascii="Tahoma" w:hAnsi="Tahoma" w:cs="Tahoma"/>
          <w:sz w:val="20"/>
          <w:szCs w:val="20"/>
        </w:rPr>
        <w:t xml:space="preserve"> αποτυπώνονται στο εκάστοτε έγγραφο που προβλέπεται από την πρόσκληση (π.χ. σύμβαση, τεχνικό</w:t>
      </w:r>
      <w:r w:rsidRPr="00FA4BC8">
        <w:rPr>
          <w:rFonts w:ascii="Tahoma" w:hAnsi="Tahoma" w:cs="Tahoma"/>
          <w:sz w:val="20"/>
          <w:szCs w:val="20"/>
        </w:rPr>
        <w:t xml:space="preserve"> παράρτημα), τ</w:t>
      </w:r>
      <w:r>
        <w:rPr>
          <w:rFonts w:ascii="Tahoma" w:hAnsi="Tahoma" w:cs="Tahoma"/>
          <w:sz w:val="20"/>
          <w:szCs w:val="20"/>
        </w:rPr>
        <w:t>ο</w:t>
      </w:r>
      <w:r w:rsidRPr="00FA4BC8">
        <w:rPr>
          <w:rFonts w:ascii="Tahoma" w:hAnsi="Tahoma" w:cs="Tahoma"/>
          <w:sz w:val="20"/>
          <w:szCs w:val="20"/>
        </w:rPr>
        <w:t xml:space="preserve"> οποί</w:t>
      </w:r>
      <w:r>
        <w:rPr>
          <w:rFonts w:ascii="Tahoma" w:hAnsi="Tahoma" w:cs="Tahoma"/>
          <w:sz w:val="20"/>
          <w:szCs w:val="20"/>
        </w:rPr>
        <w:t>ο</w:t>
      </w:r>
      <w:r w:rsidRPr="00FA4BC8">
        <w:rPr>
          <w:rFonts w:ascii="Tahoma" w:hAnsi="Tahoma" w:cs="Tahoma"/>
          <w:sz w:val="20"/>
          <w:szCs w:val="20"/>
        </w:rPr>
        <w:t xml:space="preserve"> θα αναφέρ</w:t>
      </w:r>
      <w:r>
        <w:rPr>
          <w:rFonts w:ascii="Tahoma" w:hAnsi="Tahoma" w:cs="Tahoma"/>
          <w:sz w:val="20"/>
          <w:szCs w:val="20"/>
        </w:rPr>
        <w:t>ε</w:t>
      </w:r>
      <w:r w:rsidRPr="00FA4BC8">
        <w:rPr>
          <w:rFonts w:ascii="Tahoma" w:hAnsi="Tahoma" w:cs="Tahoma"/>
          <w:sz w:val="20"/>
          <w:szCs w:val="20"/>
        </w:rPr>
        <w:t xml:space="preserve">ται εφεξής (στις Διαδικασίες των Πράξεων Κρατικών Ενισχύσεων) ως Απόφαση Χρηματοδότησης της μεμονωμένης </w:t>
      </w:r>
      <w:r w:rsidRPr="001F0978">
        <w:rPr>
          <w:rFonts w:ascii="Tahoma" w:hAnsi="Tahoma" w:cs="Tahoma"/>
          <w:sz w:val="20"/>
          <w:szCs w:val="20"/>
        </w:rPr>
        <w:t>Πράξης.</w:t>
      </w:r>
    </w:p>
    <w:p w:rsidR="00817101" w:rsidRPr="005947F1" w:rsidRDefault="00817101" w:rsidP="00FA4BC8">
      <w:pPr>
        <w:spacing w:after="120" w:line="280" w:lineRule="atLeast"/>
        <w:rPr>
          <w:rFonts w:ascii="Tahoma" w:hAnsi="Tahoma" w:cs="Tahoma"/>
          <w:sz w:val="20"/>
          <w:szCs w:val="20"/>
        </w:rPr>
      </w:pPr>
      <w:r w:rsidRPr="001F0978">
        <w:rPr>
          <w:rFonts w:ascii="Tahoma" w:hAnsi="Tahoma" w:cs="Tahoma"/>
          <w:sz w:val="20"/>
          <w:szCs w:val="20"/>
        </w:rPr>
        <w:t>Ο Δικαιούχος ενημερώνεται για τη συμμετοχή των Ταμείων στη χρηματοδότηση της Πράξης μέσω της  προαναφερθείσας Απόφασης Χρηματοδότησης. Σε περίπτωση που κατά την Ένταξη των Πράξεων σε ΕΠ του ΕΣΠΑ προϋπάρχει η Απόφαση Χρηματοδότησης, η ΔΑ οφείλει να ενημερώσει τους δικαιούχους σχετικά, καθώς και για τις επιπλέον υποχρεώσεις αυτοί αναλαμβάνουν, σύμφωνα με τους σχετικούς όρους της Πρόσκλησης.</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Η Απόφαση Ένταξης Πράξεων, που εκδίδεται σύμφωνα με τα ανωτέρω, τροποποιείται στις εξής περιπτώσεις:</w:t>
      </w:r>
    </w:p>
    <w:p w:rsidR="00817101" w:rsidRPr="00FA4BC8" w:rsidRDefault="00817101" w:rsidP="00FA4BC8">
      <w:pPr>
        <w:pStyle w:val="ListParagraph"/>
        <w:numPr>
          <w:ilvl w:val="1"/>
          <w:numId w:val="36"/>
        </w:numPr>
        <w:spacing w:after="120" w:line="280" w:lineRule="atLeast"/>
        <w:rPr>
          <w:rFonts w:ascii="Tahoma" w:hAnsi="Tahoma" w:cs="Tahoma"/>
          <w:sz w:val="20"/>
          <w:szCs w:val="20"/>
        </w:rPr>
      </w:pPr>
      <w:r w:rsidRPr="00FA4BC8">
        <w:rPr>
          <w:rFonts w:ascii="Tahoma" w:hAnsi="Tahoma" w:cs="Tahoma"/>
          <w:sz w:val="20"/>
          <w:szCs w:val="20"/>
        </w:rPr>
        <w:t>όταν υπάρχει αύξηση του συνολικού προϋπολογισμού (πχ σημείο 4.</w:t>
      </w:r>
      <w:r>
        <w:rPr>
          <w:rFonts w:ascii="Tahoma" w:hAnsi="Tahoma" w:cs="Tahoma"/>
          <w:sz w:val="20"/>
          <w:szCs w:val="20"/>
        </w:rPr>
        <w:t>6</w:t>
      </w:r>
      <w:r w:rsidRPr="00FA4BC8">
        <w:rPr>
          <w:rFonts w:ascii="Tahoma" w:hAnsi="Tahoma" w:cs="Tahoma"/>
          <w:sz w:val="20"/>
          <w:szCs w:val="20"/>
        </w:rPr>
        <w:t xml:space="preserve"> κατωτέρω)</w:t>
      </w:r>
    </w:p>
    <w:p w:rsidR="00817101" w:rsidRPr="00FA4BC8" w:rsidRDefault="00817101" w:rsidP="00FA4BC8">
      <w:pPr>
        <w:pStyle w:val="ListParagraph"/>
        <w:numPr>
          <w:ilvl w:val="1"/>
          <w:numId w:val="36"/>
        </w:numPr>
        <w:spacing w:after="120" w:line="280" w:lineRule="atLeast"/>
        <w:rPr>
          <w:rFonts w:ascii="Tahoma" w:hAnsi="Tahoma" w:cs="Tahoma"/>
          <w:sz w:val="20"/>
          <w:szCs w:val="20"/>
        </w:rPr>
      </w:pPr>
      <w:r w:rsidRPr="00FA4BC8">
        <w:rPr>
          <w:rFonts w:ascii="Tahoma" w:hAnsi="Tahoma" w:cs="Tahoma"/>
          <w:sz w:val="20"/>
          <w:szCs w:val="20"/>
        </w:rPr>
        <w:t>όταν ο συνολικός προϋπολογισμός των πράξεων μειώνεται σε ποσοστό άνω του 20%</w:t>
      </w:r>
    </w:p>
    <w:p w:rsidR="00817101" w:rsidRPr="00FA4BC8" w:rsidRDefault="00817101" w:rsidP="009B365F">
      <w:pPr>
        <w:pStyle w:val="ListParagraph"/>
        <w:keepNext/>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Κοινοποίηση αποτελεσμάτων αξιολόγησης</w:t>
      </w:r>
    </w:p>
    <w:p w:rsidR="00817101" w:rsidRPr="00FA4BC8" w:rsidRDefault="00817101" w:rsidP="00FA4BC8">
      <w:pPr>
        <w:spacing w:after="120" w:line="280" w:lineRule="atLeast"/>
        <w:rPr>
          <w:rFonts w:ascii="Tahoma" w:hAnsi="Tahoma" w:cs="Tahoma"/>
          <w:sz w:val="20"/>
          <w:szCs w:val="20"/>
        </w:rPr>
      </w:pPr>
      <w:r>
        <w:rPr>
          <w:rFonts w:ascii="Tahoma" w:hAnsi="Tahoma" w:cs="Tahoma"/>
          <w:sz w:val="20"/>
          <w:szCs w:val="20"/>
        </w:rPr>
        <w:t>Ο</w:t>
      </w:r>
      <w:r w:rsidRPr="00FA4BC8">
        <w:rPr>
          <w:rFonts w:ascii="Tahoma" w:hAnsi="Tahoma" w:cs="Tahoma"/>
          <w:sz w:val="20"/>
          <w:szCs w:val="20"/>
        </w:rPr>
        <w:t xml:space="preserve"> δυνητικό</w:t>
      </w:r>
      <w:r>
        <w:rPr>
          <w:rFonts w:ascii="Tahoma" w:hAnsi="Tahoma" w:cs="Tahoma"/>
          <w:sz w:val="20"/>
          <w:szCs w:val="20"/>
        </w:rPr>
        <w:t xml:space="preserve">ς Δικαιούχος </w:t>
      </w:r>
      <w:r w:rsidRPr="00FA4BC8">
        <w:rPr>
          <w:rFonts w:ascii="Tahoma" w:hAnsi="Tahoma" w:cs="Tahoma"/>
          <w:sz w:val="20"/>
          <w:szCs w:val="20"/>
        </w:rPr>
        <w:t>ενημερώνε</w:t>
      </w:r>
      <w:r>
        <w:rPr>
          <w:rFonts w:ascii="Tahoma" w:hAnsi="Tahoma" w:cs="Tahoma"/>
          <w:sz w:val="20"/>
          <w:szCs w:val="20"/>
        </w:rPr>
        <w:t xml:space="preserve">ται με κάθε πρόσφορο μέσο, και σε κάθε περίπτωση μέσω του ΠΣΚΕ σύμφωνα με τις σχετικές οδηγίες της Πρόσκλησης, για τα </w:t>
      </w:r>
      <w:r w:rsidRPr="00FA4BC8">
        <w:rPr>
          <w:rFonts w:ascii="Tahoma" w:hAnsi="Tahoma" w:cs="Tahoma"/>
          <w:sz w:val="20"/>
          <w:szCs w:val="20"/>
        </w:rPr>
        <w:t>αποτελ</w:t>
      </w:r>
      <w:r>
        <w:rPr>
          <w:rFonts w:ascii="Tahoma" w:hAnsi="Tahoma" w:cs="Tahoma"/>
          <w:sz w:val="20"/>
          <w:szCs w:val="20"/>
        </w:rPr>
        <w:t>έσματα</w:t>
      </w:r>
      <w:r w:rsidRPr="00FA4BC8">
        <w:rPr>
          <w:rFonts w:ascii="Tahoma" w:hAnsi="Tahoma" w:cs="Tahoma"/>
          <w:sz w:val="20"/>
          <w:szCs w:val="20"/>
        </w:rPr>
        <w:t xml:space="preserve"> της αξιολόγησης</w:t>
      </w:r>
      <w:r>
        <w:rPr>
          <w:rFonts w:ascii="Tahoma" w:hAnsi="Tahoma" w:cs="Tahoma"/>
          <w:sz w:val="20"/>
          <w:szCs w:val="20"/>
        </w:rPr>
        <w:t>.</w:t>
      </w:r>
      <w:r w:rsidRPr="00FA4BC8">
        <w:rPr>
          <w:rFonts w:ascii="Tahoma" w:hAnsi="Tahoma" w:cs="Tahoma"/>
          <w:sz w:val="20"/>
          <w:szCs w:val="20"/>
        </w:rPr>
        <w:t xml:space="preserve"> </w:t>
      </w:r>
    </w:p>
    <w:p w:rsidR="00817101" w:rsidRPr="00FA4BC8" w:rsidRDefault="00817101" w:rsidP="009B365F">
      <w:pPr>
        <w:pStyle w:val="ListParagraph"/>
        <w:keepNext/>
        <w:numPr>
          <w:ilvl w:val="1"/>
          <w:numId w:val="39"/>
        </w:numPr>
        <w:spacing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Εξέταση ενστάσεων</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Με την κοινοποίηση των αποτελεσμάτων αξιολόγησης, παρέχεται το δικαίωμα στους δυνητικούς Δικαιούχους να ασκήσουν ένσταση. Ο τρόπος υποβολής, η αποκλειστική προθεσμία εντός της οποίας μπορεί να ασκηθεί το δικαίωμα αυτό, το όργανο εξέτασης και η προθεσμία εξέτασης για έκδοση σχετικής απόφασης προσδιορίζονται στην αντίστοιχη Πρόσκληση.</w:t>
      </w:r>
    </w:p>
    <w:p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Μετά την ολοκλήρωση της διαδικασίας εξέτασης των ενστάσεων, επικαιροποιείται ή συμπληρώνεται, εφόσον απαιτείται, η απόφαση έγκρισης των αποτελεσμάτων αξιολόγησης (βλ. σημείο 4.</w:t>
      </w:r>
      <w:r>
        <w:rPr>
          <w:rFonts w:ascii="Tahoma" w:hAnsi="Tahoma" w:cs="Tahoma"/>
          <w:sz w:val="20"/>
          <w:szCs w:val="20"/>
        </w:rPr>
        <w:t>3</w:t>
      </w:r>
      <w:r w:rsidRPr="00FA4BC8">
        <w:rPr>
          <w:rFonts w:ascii="Tahoma" w:hAnsi="Tahoma" w:cs="Tahoma"/>
          <w:sz w:val="20"/>
          <w:szCs w:val="20"/>
        </w:rPr>
        <w:t>.</w:t>
      </w:r>
      <w:r w:rsidRPr="00FA4BC8">
        <w:rPr>
          <w:rFonts w:ascii="Tahoma" w:hAnsi="Tahoma" w:cs="Tahoma"/>
          <w:sz w:val="20"/>
          <w:szCs w:val="20"/>
          <w:lang w:val="en-US"/>
        </w:rPr>
        <w:t>v</w:t>
      </w:r>
      <w:r w:rsidRPr="00FA4BC8">
        <w:rPr>
          <w:rFonts w:ascii="Tahoma" w:hAnsi="Tahoma" w:cs="Tahoma"/>
          <w:sz w:val="20"/>
          <w:szCs w:val="20"/>
        </w:rPr>
        <w:t xml:space="preserve"> ανωτέρω) και επαναλαμβάνεται η διαδικασία του σημείου 4.</w:t>
      </w:r>
      <w:r>
        <w:rPr>
          <w:rFonts w:ascii="Tahoma" w:hAnsi="Tahoma" w:cs="Tahoma"/>
          <w:sz w:val="20"/>
          <w:szCs w:val="20"/>
        </w:rPr>
        <w:t>4</w:t>
      </w:r>
      <w:r w:rsidRPr="00FA4BC8">
        <w:rPr>
          <w:rFonts w:ascii="Tahoma" w:hAnsi="Tahoma" w:cs="Tahoma"/>
          <w:sz w:val="20"/>
          <w:szCs w:val="20"/>
        </w:rPr>
        <w:t xml:space="preserve"> ανωτέρω. </w:t>
      </w:r>
    </w:p>
    <w:p w:rsidR="00817101" w:rsidRPr="00464658" w:rsidRDefault="00817101" w:rsidP="00FA4BC8">
      <w:pPr>
        <w:spacing w:after="120" w:line="280" w:lineRule="atLeast"/>
        <w:rPr>
          <w:rFonts w:ascii="Tahoma" w:hAnsi="Tahoma" w:cs="Tahoma"/>
          <w:sz w:val="20"/>
          <w:szCs w:val="20"/>
        </w:rPr>
      </w:pPr>
      <w:r w:rsidRPr="00FA4BC8">
        <w:rPr>
          <w:rFonts w:ascii="Tahoma" w:hAnsi="Tahoma" w:cs="Tahoma"/>
          <w:sz w:val="20"/>
          <w:szCs w:val="20"/>
        </w:rPr>
        <w:t>Τα αποτελέσματα εξέτασης των ενστάσεων κοινοποιούνται στους δυνητικούς Δικαιούχους με ευθύνη της ΔΑ.</w:t>
      </w:r>
    </w:p>
    <w:p w:rsidR="00872B0C" w:rsidRPr="00464658" w:rsidRDefault="00872B0C" w:rsidP="00FA4BC8">
      <w:pPr>
        <w:spacing w:after="120" w:line="280" w:lineRule="atLeast"/>
        <w:rPr>
          <w:rFonts w:ascii="Tahoma" w:hAnsi="Tahoma" w:cs="Tahoma"/>
          <w:sz w:val="20"/>
          <w:szCs w:val="20"/>
        </w:rPr>
      </w:pPr>
    </w:p>
    <w:p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5. Σχετικά έντυπα</w:t>
      </w:r>
    </w:p>
    <w:tbl>
      <w:tblPr>
        <w:tblW w:w="8313" w:type="dxa"/>
        <w:jc w:val="center"/>
        <w:tblCellMar>
          <w:left w:w="0" w:type="dxa"/>
          <w:right w:w="0" w:type="dxa"/>
        </w:tblCellMar>
        <w:tblLook w:val="00A0" w:firstRow="1" w:lastRow="0" w:firstColumn="1" w:lastColumn="0" w:noHBand="0" w:noVBand="0"/>
      </w:tblPr>
      <w:tblGrid>
        <w:gridCol w:w="1351"/>
        <w:gridCol w:w="6962"/>
      </w:tblGrid>
      <w:tr w:rsidR="00817101" w:rsidRPr="00FA4BC8" w:rsidTr="006A4EF4">
        <w:trPr>
          <w:jc w:val="center"/>
        </w:trPr>
        <w:tc>
          <w:tcPr>
            <w:tcW w:w="1351" w:type="dxa"/>
            <w:tcBorders>
              <w:top w:val="nil"/>
              <w:left w:val="nil"/>
              <w:bottom w:val="single" w:sz="8" w:space="0" w:color="auto"/>
              <w:right w:val="nil"/>
            </w:tcBorders>
            <w:tcMar>
              <w:top w:w="0" w:type="dxa"/>
              <w:left w:w="108" w:type="dxa"/>
              <w:bottom w:w="0" w:type="dxa"/>
              <w:right w:w="108" w:type="dxa"/>
            </w:tcMar>
            <w:vAlign w:val="center"/>
          </w:tcPr>
          <w:p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eastAsia="en-US"/>
              </w:rPr>
            </w:pPr>
            <w:r w:rsidRPr="00FA4BC8">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tcPr>
          <w:p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eastAsia="en-US"/>
              </w:rPr>
            </w:pPr>
            <w:r w:rsidRPr="00FA4BC8">
              <w:rPr>
                <w:rFonts w:ascii="Tahoma" w:hAnsi="Tahoma" w:cs="Tahoma"/>
                <w:b/>
                <w:bCs/>
                <w:sz w:val="20"/>
                <w:szCs w:val="20"/>
                <w:lang w:eastAsia="en-US"/>
              </w:rPr>
              <w:t>Περιγραφή</w:t>
            </w:r>
          </w:p>
        </w:tc>
      </w:tr>
      <w:tr w:rsidR="00817101" w:rsidRPr="00FA4BC8" w:rsidTr="00F02AD3">
        <w:trPr>
          <w:jc w:val="center"/>
        </w:trPr>
        <w:tc>
          <w:tcPr>
            <w:tcW w:w="1351" w:type="dxa"/>
            <w:tcBorders>
              <w:top w:val="dotted" w:sz="8" w:space="0" w:color="auto"/>
              <w:left w:val="nil"/>
              <w:bottom w:val="single" w:sz="8" w:space="0" w:color="auto"/>
              <w:right w:val="nil"/>
            </w:tcBorders>
            <w:tcMar>
              <w:top w:w="0" w:type="dxa"/>
              <w:left w:w="108" w:type="dxa"/>
              <w:bottom w:w="0" w:type="dxa"/>
              <w:right w:w="108" w:type="dxa"/>
            </w:tcMar>
            <w:vAlign w:val="center"/>
          </w:tcPr>
          <w:p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val="en-US" w:eastAsia="en-US"/>
              </w:rPr>
            </w:pPr>
            <w:r w:rsidRPr="00FA4BC8">
              <w:rPr>
                <w:rFonts w:ascii="Tahoma" w:hAnsi="Tahoma" w:cs="Tahoma"/>
                <w:sz w:val="20"/>
                <w:szCs w:val="20"/>
                <w:lang w:eastAsia="en-US"/>
              </w:rPr>
              <w:t>Ε.Ι.2_</w:t>
            </w:r>
            <w:r>
              <w:rPr>
                <w:rFonts w:ascii="Tahoma" w:hAnsi="Tahoma" w:cs="Tahoma"/>
                <w:sz w:val="20"/>
                <w:szCs w:val="20"/>
                <w:lang w:eastAsia="en-US"/>
              </w:rPr>
              <w:t>ΚΕ_</w:t>
            </w:r>
            <w:r w:rsidRPr="00FA4BC8">
              <w:rPr>
                <w:rFonts w:ascii="Tahoma" w:hAnsi="Tahoma" w:cs="Tahoma"/>
                <w:sz w:val="20"/>
                <w:szCs w:val="20"/>
                <w:lang w:eastAsia="en-US"/>
              </w:rPr>
              <w:t>1</w:t>
            </w:r>
          </w:p>
        </w:tc>
        <w:tc>
          <w:tcPr>
            <w:tcW w:w="6962" w:type="dxa"/>
            <w:tcBorders>
              <w:top w:val="dotted" w:sz="8" w:space="0" w:color="auto"/>
              <w:left w:val="nil"/>
              <w:bottom w:val="single" w:sz="8" w:space="0" w:color="auto"/>
              <w:right w:val="nil"/>
            </w:tcBorders>
            <w:tcMar>
              <w:top w:w="0" w:type="dxa"/>
              <w:left w:w="108" w:type="dxa"/>
              <w:bottom w:w="0" w:type="dxa"/>
              <w:right w:w="108" w:type="dxa"/>
            </w:tcMar>
            <w:vAlign w:val="center"/>
          </w:tcPr>
          <w:p w:rsidR="00817101" w:rsidRPr="00FA4BC8" w:rsidRDefault="00817101" w:rsidP="00FA4BC8">
            <w:pPr>
              <w:spacing w:after="120" w:line="280" w:lineRule="atLeast"/>
              <w:jc w:val="left"/>
              <w:rPr>
                <w:rFonts w:ascii="Tahoma" w:hAnsi="Tahoma" w:cs="Tahoma"/>
                <w:sz w:val="20"/>
                <w:szCs w:val="20"/>
                <w:lang w:eastAsia="en-US"/>
              </w:rPr>
            </w:pPr>
            <w:r w:rsidRPr="00FA4BC8">
              <w:rPr>
                <w:rFonts w:ascii="Tahoma" w:hAnsi="Tahoma" w:cs="Tahoma"/>
                <w:color w:val="000000"/>
                <w:sz w:val="20"/>
                <w:szCs w:val="20"/>
              </w:rPr>
              <w:t>Απόφαση Ένταξης Πράξεων Κρατικών Ενισχύσεων</w:t>
            </w:r>
          </w:p>
        </w:tc>
      </w:tr>
    </w:tbl>
    <w:p w:rsidR="00817101" w:rsidRPr="00FA4BC8" w:rsidRDefault="00817101" w:rsidP="00FA4BC8">
      <w:pPr>
        <w:spacing w:after="120" w:line="280" w:lineRule="atLeast"/>
        <w:rPr>
          <w:rFonts w:ascii="Tahoma" w:hAnsi="Tahoma" w:cs="Tahoma"/>
          <w:i/>
          <w:sz w:val="20"/>
          <w:szCs w:val="20"/>
        </w:rPr>
      </w:pPr>
      <w:r w:rsidRPr="00FA4BC8">
        <w:rPr>
          <w:rFonts w:ascii="Tahoma" w:hAnsi="Tahoma" w:cs="Tahoma"/>
          <w:sz w:val="20"/>
          <w:szCs w:val="20"/>
        </w:rPr>
        <w:t xml:space="preserve">Στην παρούσα Διαδικασία χρησιμοποιούνται και έντυπα από τη </w:t>
      </w:r>
      <w:r w:rsidRPr="00FA4BC8">
        <w:rPr>
          <w:rFonts w:ascii="Tahoma" w:hAnsi="Tahoma" w:cs="Tahoma"/>
          <w:i/>
          <w:sz w:val="20"/>
          <w:szCs w:val="20"/>
        </w:rPr>
        <w:t>Διαδικασία ΔΙ_1:Έκδοση πρόσκλησης για υποβολή αιτήσεων χρηματοδότησης (πράξεις πλην Κρατικών Ενισχύσεων):</w:t>
      </w:r>
    </w:p>
    <w:tbl>
      <w:tblPr>
        <w:tblpPr w:leftFromText="180" w:rightFromText="180" w:vertAnchor="text" w:horzAnchor="margin" w:tblpXSpec="center" w:tblpY="158"/>
        <w:tblW w:w="8313" w:type="dxa"/>
        <w:tblCellMar>
          <w:left w:w="0" w:type="dxa"/>
          <w:right w:w="0" w:type="dxa"/>
        </w:tblCellMar>
        <w:tblLook w:val="00A0" w:firstRow="1" w:lastRow="0" w:firstColumn="1" w:lastColumn="0" w:noHBand="0" w:noVBand="0"/>
      </w:tblPr>
      <w:tblGrid>
        <w:gridCol w:w="1351"/>
        <w:gridCol w:w="6962"/>
      </w:tblGrid>
      <w:tr w:rsidR="00817101" w:rsidRPr="00FA4BC8" w:rsidTr="00F0699B">
        <w:tc>
          <w:tcPr>
            <w:tcW w:w="1351" w:type="dxa"/>
            <w:tcBorders>
              <w:top w:val="nil"/>
              <w:left w:val="nil"/>
              <w:bottom w:val="single" w:sz="8" w:space="0" w:color="auto"/>
              <w:right w:val="nil"/>
            </w:tcBorders>
            <w:tcMar>
              <w:top w:w="0" w:type="dxa"/>
              <w:left w:w="108" w:type="dxa"/>
              <w:bottom w:w="0" w:type="dxa"/>
              <w:right w:w="108" w:type="dxa"/>
            </w:tcMar>
            <w:vAlign w:val="center"/>
          </w:tcPr>
          <w:p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eastAsia="en-US"/>
              </w:rPr>
            </w:pPr>
            <w:r w:rsidRPr="00FA4BC8">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tcPr>
          <w:p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eastAsia="en-US"/>
              </w:rPr>
            </w:pPr>
            <w:r w:rsidRPr="00FA4BC8">
              <w:rPr>
                <w:rFonts w:ascii="Tahoma" w:hAnsi="Tahoma" w:cs="Tahoma"/>
                <w:b/>
                <w:bCs/>
                <w:sz w:val="20"/>
                <w:szCs w:val="20"/>
                <w:lang w:eastAsia="en-US"/>
              </w:rPr>
              <w:t>Περιγραφή</w:t>
            </w:r>
          </w:p>
        </w:tc>
      </w:tr>
      <w:tr w:rsidR="00817101" w:rsidRPr="00FA4BC8" w:rsidTr="00F0699B">
        <w:tc>
          <w:tcPr>
            <w:tcW w:w="1351" w:type="dxa"/>
            <w:tcBorders>
              <w:top w:val="nil"/>
              <w:left w:val="nil"/>
              <w:bottom w:val="dotted" w:sz="8" w:space="0" w:color="auto"/>
              <w:right w:val="nil"/>
            </w:tcBorders>
            <w:tcMar>
              <w:top w:w="0" w:type="dxa"/>
              <w:left w:w="108" w:type="dxa"/>
              <w:bottom w:w="0" w:type="dxa"/>
              <w:right w:w="108" w:type="dxa"/>
            </w:tcMar>
            <w:vAlign w:val="center"/>
          </w:tcPr>
          <w:p w:rsidR="00817101" w:rsidRPr="00FA4BC8" w:rsidRDefault="00817101" w:rsidP="00FA4BC8">
            <w:pPr>
              <w:spacing w:after="120" w:line="280" w:lineRule="atLeast"/>
              <w:rPr>
                <w:rFonts w:ascii="Tahoma" w:hAnsi="Tahoma" w:cs="Tahoma"/>
                <w:sz w:val="20"/>
                <w:szCs w:val="20"/>
                <w:lang w:eastAsia="en-US"/>
              </w:rPr>
            </w:pPr>
            <w:r w:rsidRPr="00FA4BC8">
              <w:rPr>
                <w:rFonts w:ascii="Tahoma" w:hAnsi="Tahoma" w:cs="Tahoma"/>
                <w:sz w:val="20"/>
                <w:szCs w:val="20"/>
                <w:lang w:eastAsia="en-US"/>
              </w:rPr>
              <w:t>Ε.Ι.1_3</w:t>
            </w:r>
          </w:p>
        </w:tc>
        <w:tc>
          <w:tcPr>
            <w:tcW w:w="6962" w:type="dxa"/>
            <w:tcBorders>
              <w:top w:val="nil"/>
              <w:left w:val="nil"/>
              <w:bottom w:val="dotted" w:sz="8" w:space="0" w:color="auto"/>
              <w:right w:val="nil"/>
            </w:tcBorders>
            <w:tcMar>
              <w:top w:w="0" w:type="dxa"/>
              <w:left w:w="108" w:type="dxa"/>
              <w:bottom w:w="0" w:type="dxa"/>
              <w:right w:w="108" w:type="dxa"/>
            </w:tcMar>
            <w:vAlign w:val="center"/>
          </w:tcPr>
          <w:p w:rsidR="00817101" w:rsidRPr="00FA4BC8" w:rsidRDefault="00817101" w:rsidP="00FA4BC8">
            <w:pPr>
              <w:spacing w:after="120" w:line="280" w:lineRule="atLeast"/>
              <w:jc w:val="left"/>
              <w:rPr>
                <w:rFonts w:ascii="Tahoma" w:hAnsi="Tahoma" w:cs="Tahoma"/>
                <w:sz w:val="20"/>
                <w:szCs w:val="20"/>
                <w:lang w:eastAsia="en-US"/>
              </w:rPr>
            </w:pPr>
            <w:r w:rsidRPr="00FA4BC8">
              <w:rPr>
                <w:rFonts w:ascii="Tahoma" w:hAnsi="Tahoma" w:cs="Tahoma"/>
                <w:sz w:val="20"/>
                <w:szCs w:val="20"/>
                <w:lang w:eastAsia="en-US"/>
              </w:rPr>
              <w:t xml:space="preserve">Τεχνικό Δελτίο Πράξης </w:t>
            </w:r>
          </w:p>
        </w:tc>
      </w:tr>
      <w:tr w:rsidR="00817101" w:rsidRPr="00FA4BC8" w:rsidTr="00F0699B">
        <w:tc>
          <w:tcPr>
            <w:tcW w:w="1351" w:type="dxa"/>
            <w:tcBorders>
              <w:top w:val="dotted" w:sz="8" w:space="0" w:color="auto"/>
              <w:left w:val="nil"/>
              <w:bottom w:val="single" w:sz="4" w:space="0" w:color="auto"/>
              <w:right w:val="nil"/>
            </w:tcBorders>
            <w:tcMar>
              <w:top w:w="0" w:type="dxa"/>
              <w:left w:w="108" w:type="dxa"/>
              <w:bottom w:w="0" w:type="dxa"/>
              <w:right w:w="108" w:type="dxa"/>
            </w:tcMar>
            <w:vAlign w:val="center"/>
          </w:tcPr>
          <w:p w:rsidR="00817101" w:rsidRPr="00FA4BC8" w:rsidRDefault="00817101" w:rsidP="00FA4BC8">
            <w:pPr>
              <w:spacing w:after="120" w:line="280" w:lineRule="atLeast"/>
              <w:rPr>
                <w:rFonts w:ascii="Tahoma" w:hAnsi="Tahoma" w:cs="Tahoma"/>
                <w:sz w:val="20"/>
                <w:szCs w:val="20"/>
                <w:lang w:eastAsia="en-US"/>
              </w:rPr>
            </w:pPr>
            <w:r w:rsidRPr="00FA4BC8">
              <w:rPr>
                <w:rFonts w:ascii="Tahoma" w:hAnsi="Tahoma" w:cs="Tahoma"/>
                <w:sz w:val="20"/>
                <w:szCs w:val="20"/>
                <w:lang w:eastAsia="en-US"/>
              </w:rPr>
              <w:t>Ο_Ε.Ι.1_3</w:t>
            </w:r>
          </w:p>
        </w:tc>
        <w:tc>
          <w:tcPr>
            <w:tcW w:w="6962" w:type="dxa"/>
            <w:tcBorders>
              <w:top w:val="dotted" w:sz="8" w:space="0" w:color="auto"/>
              <w:left w:val="nil"/>
              <w:bottom w:val="single" w:sz="4" w:space="0" w:color="auto"/>
              <w:right w:val="nil"/>
            </w:tcBorders>
            <w:tcMar>
              <w:top w:w="0" w:type="dxa"/>
              <w:left w:w="108" w:type="dxa"/>
              <w:bottom w:w="0" w:type="dxa"/>
              <w:right w:w="108" w:type="dxa"/>
            </w:tcMar>
            <w:vAlign w:val="center"/>
          </w:tcPr>
          <w:p w:rsidR="00817101" w:rsidRPr="00FA4BC8" w:rsidRDefault="00817101" w:rsidP="00FA4BC8">
            <w:pPr>
              <w:spacing w:after="120" w:line="280" w:lineRule="atLeast"/>
              <w:jc w:val="left"/>
              <w:rPr>
                <w:rFonts w:ascii="Tahoma" w:hAnsi="Tahoma" w:cs="Tahoma"/>
                <w:sz w:val="20"/>
                <w:szCs w:val="20"/>
                <w:lang w:eastAsia="en-US"/>
              </w:rPr>
            </w:pPr>
            <w:r w:rsidRPr="00FA4BC8">
              <w:rPr>
                <w:rFonts w:ascii="Tahoma" w:hAnsi="Tahoma" w:cs="Tahoma"/>
                <w:sz w:val="20"/>
                <w:szCs w:val="20"/>
                <w:lang w:eastAsia="en-US"/>
              </w:rPr>
              <w:t>Οδηγίες συμπλήρωσης Τεχνικού Δελτίου Πράξης</w:t>
            </w:r>
          </w:p>
        </w:tc>
      </w:tr>
    </w:tbl>
    <w:p w:rsidR="00817101" w:rsidRPr="00FA4BC8" w:rsidRDefault="00817101" w:rsidP="00FA4BC8">
      <w:pPr>
        <w:spacing w:after="120" w:line="280" w:lineRule="atLeast"/>
        <w:rPr>
          <w:rFonts w:ascii="Tahoma" w:hAnsi="Tahoma" w:cs="Tahoma"/>
          <w:i/>
          <w:sz w:val="20"/>
          <w:szCs w:val="20"/>
        </w:rPr>
      </w:pPr>
    </w:p>
    <w:p w:rsidR="00817101" w:rsidRPr="00FA4BC8" w:rsidRDefault="00817101" w:rsidP="00FA4BC8">
      <w:pPr>
        <w:spacing w:after="120" w:line="280" w:lineRule="atLeast"/>
        <w:rPr>
          <w:rFonts w:ascii="Tahoma" w:hAnsi="Tahoma" w:cs="Tahoma"/>
          <w:i/>
          <w:sz w:val="20"/>
          <w:szCs w:val="20"/>
        </w:rPr>
      </w:pPr>
    </w:p>
    <w:p w:rsidR="00817101" w:rsidRPr="00FA4BC8" w:rsidRDefault="00817101" w:rsidP="00FA4BC8">
      <w:pPr>
        <w:spacing w:after="120" w:line="280" w:lineRule="atLeast"/>
        <w:rPr>
          <w:rFonts w:ascii="Tahoma" w:hAnsi="Tahoma" w:cs="Tahoma"/>
          <w:i/>
          <w:sz w:val="20"/>
          <w:szCs w:val="20"/>
        </w:rPr>
      </w:pPr>
    </w:p>
    <w:p w:rsidR="00817101" w:rsidRDefault="00817101" w:rsidP="00FA4BC8">
      <w:pPr>
        <w:spacing w:after="120" w:line="280" w:lineRule="atLeast"/>
        <w:rPr>
          <w:rFonts w:ascii="Tahoma" w:hAnsi="Tahoma" w:cs="Tahoma"/>
          <w:sz w:val="20"/>
          <w:szCs w:val="20"/>
        </w:rPr>
      </w:pPr>
    </w:p>
    <w:p w:rsidR="00817101" w:rsidRPr="00FA4BC8" w:rsidRDefault="00817101" w:rsidP="00FA4BC8">
      <w:pPr>
        <w:spacing w:after="120" w:line="280" w:lineRule="atLeast"/>
        <w:rPr>
          <w:rFonts w:ascii="Tahoma" w:hAnsi="Tahoma" w:cs="Tahoma"/>
          <w:sz w:val="20"/>
          <w:szCs w:val="20"/>
        </w:rPr>
      </w:pPr>
    </w:p>
    <w:p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6. Διάγραμμα ροής</w:t>
      </w:r>
    </w:p>
    <w:p w:rsidR="00817101" w:rsidRPr="00FA4BC8" w:rsidRDefault="00817101" w:rsidP="00FA4BC8">
      <w:pPr>
        <w:spacing w:after="120" w:line="280" w:lineRule="atLeast"/>
        <w:rPr>
          <w:rFonts w:ascii="Tahoma" w:hAnsi="Tahoma" w:cs="Tahoma"/>
          <w:sz w:val="20"/>
          <w:szCs w:val="20"/>
        </w:rPr>
      </w:pPr>
    </w:p>
    <w:p w:rsidR="00817101" w:rsidRPr="00FA4BC8" w:rsidRDefault="00817101" w:rsidP="00FA4BC8">
      <w:pPr>
        <w:spacing w:after="120" w:line="280" w:lineRule="atLeast"/>
        <w:rPr>
          <w:rFonts w:ascii="Tahoma" w:hAnsi="Tahoma" w:cs="Tahoma"/>
          <w:sz w:val="20"/>
          <w:szCs w:val="20"/>
        </w:rPr>
      </w:pPr>
    </w:p>
    <w:sectPr w:rsidR="00817101" w:rsidRPr="00FA4BC8" w:rsidSect="00FF1845">
      <w:headerReference w:type="even" r:id="rId8"/>
      <w:headerReference w:type="default" r:id="rId9"/>
      <w:footerReference w:type="even" r:id="rId10"/>
      <w:footerReference w:type="default" r:id="rId11"/>
      <w:headerReference w:type="first" r:id="rId12"/>
      <w:footerReference w:type="first" r:id="rId13"/>
      <w:pgSz w:w="11906" w:h="16838"/>
      <w:pgMar w:top="1021" w:right="991" w:bottom="1247" w:left="993" w:header="709" w:footer="324"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101" w:rsidRDefault="00817101" w:rsidP="00882E5E">
      <w:r>
        <w:separator/>
      </w:r>
    </w:p>
  </w:endnote>
  <w:endnote w:type="continuationSeparator" w:id="0">
    <w:p w:rsidR="00817101" w:rsidRDefault="00817101"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58" w:rsidRDefault="004646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17101" w:rsidRPr="00CB47BE" w:rsidTr="00C54173">
      <w:trPr>
        <w:jc w:val="center"/>
      </w:trPr>
      <w:tc>
        <w:tcPr>
          <w:tcW w:w="3383" w:type="dxa"/>
          <w:tcBorders>
            <w:top w:val="single" w:sz="4" w:space="0" w:color="auto"/>
          </w:tcBorders>
        </w:tcPr>
        <w:p w:rsidR="00817101" w:rsidRPr="00872B0C" w:rsidRDefault="00817101" w:rsidP="00C54173">
          <w:pPr>
            <w:spacing w:before="60"/>
            <w:jc w:val="left"/>
            <w:rPr>
              <w:rFonts w:ascii="Tahoma" w:hAnsi="Tahoma" w:cs="Tahoma"/>
              <w:bCs/>
              <w:sz w:val="16"/>
              <w:szCs w:val="16"/>
            </w:rPr>
          </w:pPr>
          <w:r w:rsidRPr="00872B0C">
            <w:rPr>
              <w:rFonts w:ascii="Tahoma" w:hAnsi="Tahoma" w:cs="Tahoma"/>
              <w:bCs/>
              <w:sz w:val="16"/>
              <w:szCs w:val="16"/>
            </w:rPr>
            <w:t>Διαδικασία: ΔΙ_2_ΚΕ</w:t>
          </w:r>
        </w:p>
        <w:p w:rsidR="00817101" w:rsidRPr="00872B0C" w:rsidRDefault="00817101" w:rsidP="00C54173">
          <w:pPr>
            <w:spacing w:before="0"/>
            <w:jc w:val="left"/>
            <w:rPr>
              <w:rFonts w:ascii="Tahoma" w:hAnsi="Tahoma" w:cs="Tahoma"/>
              <w:bCs/>
              <w:sz w:val="16"/>
              <w:szCs w:val="16"/>
            </w:rPr>
          </w:pPr>
          <w:r w:rsidRPr="00872B0C">
            <w:rPr>
              <w:rFonts w:ascii="Tahoma" w:hAnsi="Tahoma" w:cs="Tahoma"/>
              <w:bCs/>
              <w:sz w:val="16"/>
              <w:szCs w:val="16"/>
            </w:rPr>
            <w:t>Έκδοση:1</w:t>
          </w:r>
          <w:r w:rsidRPr="00872B0C">
            <w:rPr>
              <w:rFonts w:ascii="Tahoma" w:hAnsi="Tahoma" w:cs="Tahoma"/>
              <w:bCs/>
              <w:sz w:val="16"/>
              <w:szCs w:val="16"/>
              <w:vertAlign w:val="superscript"/>
            </w:rPr>
            <w:t>η</w:t>
          </w:r>
          <w:r w:rsidRPr="00872B0C">
            <w:rPr>
              <w:rFonts w:ascii="Tahoma" w:hAnsi="Tahoma" w:cs="Tahoma"/>
              <w:bCs/>
              <w:sz w:val="16"/>
              <w:szCs w:val="16"/>
            </w:rPr>
            <w:t xml:space="preserve">   </w:t>
          </w:r>
        </w:p>
        <w:p w:rsidR="00817101" w:rsidRPr="00872B0C" w:rsidRDefault="00817101" w:rsidP="00464658">
          <w:pPr>
            <w:spacing w:before="0"/>
            <w:jc w:val="left"/>
            <w:rPr>
              <w:rFonts w:ascii="Tahoma" w:hAnsi="Tahoma" w:cs="Tahoma"/>
              <w:bCs/>
              <w:szCs w:val="20"/>
            </w:rPr>
          </w:pPr>
          <w:r w:rsidRPr="00872B0C">
            <w:rPr>
              <w:rFonts w:ascii="Tahoma" w:hAnsi="Tahoma" w:cs="Tahoma"/>
              <w:bCs/>
              <w:sz w:val="16"/>
              <w:szCs w:val="16"/>
            </w:rPr>
            <w:t>Ημ. Έκδοσης:</w:t>
          </w:r>
          <w:r w:rsidR="00464658">
            <w:rPr>
              <w:rFonts w:ascii="Tahoma" w:hAnsi="Tahoma" w:cs="Tahoma"/>
              <w:bCs/>
              <w:sz w:val="16"/>
              <w:szCs w:val="16"/>
            </w:rPr>
            <w:t>30.10</w:t>
          </w:r>
          <w:r w:rsidRPr="00872B0C">
            <w:rPr>
              <w:rFonts w:ascii="Tahoma" w:hAnsi="Tahoma" w:cs="Tahoma"/>
              <w:bCs/>
              <w:sz w:val="16"/>
              <w:szCs w:val="16"/>
            </w:rPr>
            <w:t>.2015</w:t>
          </w:r>
        </w:p>
      </w:tc>
      <w:tc>
        <w:tcPr>
          <w:tcW w:w="2850" w:type="dxa"/>
          <w:tcBorders>
            <w:top w:val="single" w:sz="4" w:space="0" w:color="auto"/>
          </w:tcBorders>
          <w:vAlign w:val="center"/>
        </w:tcPr>
        <w:p w:rsidR="00817101" w:rsidRPr="00CB47BE" w:rsidRDefault="00817101" w:rsidP="00C54173">
          <w:pPr>
            <w:spacing w:before="0"/>
            <w:rPr>
              <w:bCs/>
              <w:sz w:val="16"/>
              <w:szCs w:val="16"/>
            </w:rPr>
          </w:pPr>
          <w:bookmarkStart w:id="1" w:name="_GoBack"/>
          <w:bookmarkEnd w:id="1"/>
          <w:r>
            <w:rPr>
              <w:bCs/>
              <w:sz w:val="16"/>
              <w:szCs w:val="16"/>
            </w:rPr>
            <w:t xml:space="preserve">                </w:t>
          </w:r>
          <w:r w:rsidRPr="00CB47BE">
            <w:rPr>
              <w:bCs/>
              <w:sz w:val="16"/>
              <w:szCs w:val="16"/>
            </w:rPr>
            <w:t xml:space="preserve">- </w:t>
          </w:r>
          <w:r w:rsidRPr="00CB47BE">
            <w:rPr>
              <w:bCs/>
              <w:sz w:val="16"/>
              <w:szCs w:val="16"/>
            </w:rPr>
            <w:fldChar w:fldCharType="begin"/>
          </w:r>
          <w:r w:rsidRPr="00CB47BE">
            <w:rPr>
              <w:bCs/>
              <w:sz w:val="16"/>
              <w:szCs w:val="16"/>
            </w:rPr>
            <w:instrText xml:space="preserve"> PAGE </w:instrText>
          </w:r>
          <w:r w:rsidRPr="00CB47BE">
            <w:rPr>
              <w:bCs/>
              <w:sz w:val="16"/>
              <w:szCs w:val="16"/>
            </w:rPr>
            <w:fldChar w:fldCharType="separate"/>
          </w:r>
          <w:r w:rsidR="00464658">
            <w:rPr>
              <w:bCs/>
              <w:noProof/>
              <w:sz w:val="16"/>
              <w:szCs w:val="16"/>
            </w:rPr>
            <w:t>1</w:t>
          </w:r>
          <w:r w:rsidRPr="00CB47BE">
            <w:rPr>
              <w:bCs/>
              <w:sz w:val="16"/>
              <w:szCs w:val="16"/>
            </w:rPr>
            <w:fldChar w:fldCharType="end"/>
          </w:r>
          <w:r w:rsidRPr="00CB47BE">
            <w:rPr>
              <w:bCs/>
              <w:sz w:val="16"/>
              <w:szCs w:val="16"/>
            </w:rPr>
            <w:t xml:space="preserve"> -</w:t>
          </w:r>
        </w:p>
      </w:tc>
      <w:tc>
        <w:tcPr>
          <w:tcW w:w="2798" w:type="dxa"/>
          <w:tcBorders>
            <w:top w:val="single" w:sz="4" w:space="0" w:color="auto"/>
          </w:tcBorders>
          <w:vAlign w:val="center"/>
        </w:tcPr>
        <w:p w:rsidR="00817101" w:rsidRPr="00CB47BE" w:rsidRDefault="00464658" w:rsidP="00872B0C">
          <w:pPr>
            <w:spacing w:before="60"/>
            <w:jc w:val="right"/>
            <w:rPr>
              <w:bCs/>
              <w:szCs w:val="20"/>
            </w:rPr>
          </w:pPr>
          <w:r>
            <w:rPr>
              <w:rFonts w:ascii="Tahoma" w:hAnsi="Tahoma" w:cs="Tahoma"/>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62.6pt;height:36pt;visibility:visible">
                <v:imagedata r:id="rId1" o:title=""/>
              </v:shape>
            </w:pict>
          </w:r>
        </w:p>
      </w:tc>
    </w:tr>
  </w:tbl>
  <w:p w:rsidR="00817101" w:rsidRPr="00131DE4" w:rsidRDefault="00817101" w:rsidP="00654A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58" w:rsidRDefault="004646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101" w:rsidRDefault="00817101" w:rsidP="00882E5E">
      <w:r>
        <w:separator/>
      </w:r>
    </w:p>
  </w:footnote>
  <w:footnote w:type="continuationSeparator" w:id="0">
    <w:p w:rsidR="00817101" w:rsidRDefault="00817101"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58" w:rsidRDefault="004646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58" w:rsidRDefault="004646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58" w:rsidRDefault="004646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674725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24B80E06"/>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19262BBA"/>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34785B2C"/>
    <w:lvl w:ilvl="0">
      <w:start w:val="1"/>
      <w:numFmt w:val="bullet"/>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7346510"/>
    <w:multiLevelType w:val="hybridMultilevel"/>
    <w:tmpl w:val="E6223C72"/>
    <w:lvl w:ilvl="0" w:tplc="C540C5B8">
      <w:start w:val="1"/>
      <w:numFmt w:val="bullet"/>
      <w:lvlText w:val="o"/>
      <w:lvlJc w:val="left"/>
      <w:pPr>
        <w:ind w:left="720" w:hanging="360"/>
      </w:pPr>
      <w:rPr>
        <w:rFonts w:ascii="Courier New" w:hAnsi="Courier New"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CB638A6"/>
    <w:multiLevelType w:val="hybridMultilevel"/>
    <w:tmpl w:val="DFBE0B3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30D5380"/>
    <w:multiLevelType w:val="multilevel"/>
    <w:tmpl w:val="F692DFD4"/>
    <w:lvl w:ilvl="0">
      <w:start w:val="1"/>
      <w:numFmt w:val="upperRoman"/>
      <w:pStyle w:val="Heading1"/>
      <w:lvlText w:val="Λειτουργική Περιοχή %1:"/>
      <w:lvlJc w:val="left"/>
      <w:pPr>
        <w:ind w:left="432" w:hanging="432"/>
      </w:pPr>
      <w:rPr>
        <w:rFonts w:cs="Times New Roman" w:hint="default"/>
      </w:rPr>
    </w:lvl>
    <w:lvl w:ilvl="1">
      <w:start w:val="1"/>
      <w:numFmt w:val="decimal"/>
      <w:pStyle w:val="Heading2"/>
      <w:lvlText w:val="Διαδικασία Δ%1_%2:"/>
      <w:lvlJc w:val="left"/>
      <w:pPr>
        <w:ind w:left="3270" w:hanging="576"/>
      </w:pPr>
      <w:rPr>
        <w:rFonts w:cs="Times New Roman" w:hint="default"/>
      </w:rPr>
    </w:lvl>
    <w:lvl w:ilvl="2">
      <w:start w:val="1"/>
      <w:numFmt w:val="decimal"/>
      <w:lvlRestart w:val="0"/>
      <w:pStyle w:val="Heading3"/>
      <w:lvlText w:val="Διαδικασία Δ%1_%2:"/>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0">
    <w:nsid w:val="41912C40"/>
    <w:multiLevelType w:val="hybridMultilevel"/>
    <w:tmpl w:val="537E793E"/>
    <w:lvl w:ilvl="0" w:tplc="C540C5B8">
      <w:start w:val="1"/>
      <w:numFmt w:val="bullet"/>
      <w:lvlText w:val="o"/>
      <w:lvlJc w:val="left"/>
      <w:pPr>
        <w:ind w:left="720" w:hanging="360"/>
      </w:pPr>
      <w:rPr>
        <w:rFonts w:ascii="Courier New" w:hAnsi="Courier New" w:hint="default"/>
      </w:rPr>
    </w:lvl>
    <w:lvl w:ilvl="1" w:tplc="CE2C1788">
      <w:numFmt w:val="bullet"/>
      <w:lvlText w:val="-"/>
      <w:lvlJc w:val="left"/>
      <w:pPr>
        <w:ind w:left="1440" w:hanging="360"/>
      </w:pPr>
      <w:rPr>
        <w:rFonts w:ascii="Arial Narrow" w:eastAsia="Times New Roman" w:hAnsi="Arial Narro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35A1EB6"/>
    <w:multiLevelType w:val="hybridMultilevel"/>
    <w:tmpl w:val="CBAE5D92"/>
    <w:lvl w:ilvl="0" w:tplc="129E9BAC">
      <w:start w:val="1"/>
      <w:numFmt w:val="lowerRoman"/>
      <w:lvlText w:val="%1."/>
      <w:lvlJc w:val="left"/>
      <w:pPr>
        <w:ind w:left="1800" w:hanging="360"/>
      </w:pPr>
      <w:rPr>
        <w:rFonts w:cs="Times New Roman" w:hint="default"/>
      </w:rPr>
    </w:lvl>
    <w:lvl w:ilvl="1" w:tplc="04080019" w:tentative="1">
      <w:start w:val="1"/>
      <w:numFmt w:val="lowerLetter"/>
      <w:lvlText w:val="%2."/>
      <w:lvlJc w:val="left"/>
      <w:pPr>
        <w:ind w:left="2520" w:hanging="360"/>
      </w:pPr>
      <w:rPr>
        <w:rFonts w:cs="Times New Roman"/>
      </w:rPr>
    </w:lvl>
    <w:lvl w:ilvl="2" w:tplc="0408001B" w:tentative="1">
      <w:start w:val="1"/>
      <w:numFmt w:val="lowerRoman"/>
      <w:lvlText w:val="%3."/>
      <w:lvlJc w:val="right"/>
      <w:pPr>
        <w:ind w:left="3240" w:hanging="180"/>
      </w:pPr>
      <w:rPr>
        <w:rFonts w:cs="Times New Roman"/>
      </w:rPr>
    </w:lvl>
    <w:lvl w:ilvl="3" w:tplc="0408000F" w:tentative="1">
      <w:start w:val="1"/>
      <w:numFmt w:val="decimal"/>
      <w:lvlText w:val="%4."/>
      <w:lvlJc w:val="left"/>
      <w:pPr>
        <w:ind w:left="3960" w:hanging="360"/>
      </w:pPr>
      <w:rPr>
        <w:rFonts w:cs="Times New Roman"/>
      </w:rPr>
    </w:lvl>
    <w:lvl w:ilvl="4" w:tplc="04080019" w:tentative="1">
      <w:start w:val="1"/>
      <w:numFmt w:val="lowerLetter"/>
      <w:lvlText w:val="%5."/>
      <w:lvlJc w:val="left"/>
      <w:pPr>
        <w:ind w:left="4680" w:hanging="360"/>
      </w:pPr>
      <w:rPr>
        <w:rFonts w:cs="Times New Roman"/>
      </w:rPr>
    </w:lvl>
    <w:lvl w:ilvl="5" w:tplc="0408001B" w:tentative="1">
      <w:start w:val="1"/>
      <w:numFmt w:val="lowerRoman"/>
      <w:lvlText w:val="%6."/>
      <w:lvlJc w:val="right"/>
      <w:pPr>
        <w:ind w:left="5400" w:hanging="180"/>
      </w:pPr>
      <w:rPr>
        <w:rFonts w:cs="Times New Roman"/>
      </w:rPr>
    </w:lvl>
    <w:lvl w:ilvl="6" w:tplc="0408000F" w:tentative="1">
      <w:start w:val="1"/>
      <w:numFmt w:val="decimal"/>
      <w:lvlText w:val="%7."/>
      <w:lvlJc w:val="left"/>
      <w:pPr>
        <w:ind w:left="6120" w:hanging="360"/>
      </w:pPr>
      <w:rPr>
        <w:rFonts w:cs="Times New Roman"/>
      </w:rPr>
    </w:lvl>
    <w:lvl w:ilvl="7" w:tplc="04080019" w:tentative="1">
      <w:start w:val="1"/>
      <w:numFmt w:val="lowerLetter"/>
      <w:lvlText w:val="%8."/>
      <w:lvlJc w:val="left"/>
      <w:pPr>
        <w:ind w:left="6840" w:hanging="360"/>
      </w:pPr>
      <w:rPr>
        <w:rFonts w:cs="Times New Roman"/>
      </w:rPr>
    </w:lvl>
    <w:lvl w:ilvl="8" w:tplc="0408001B" w:tentative="1">
      <w:start w:val="1"/>
      <w:numFmt w:val="lowerRoman"/>
      <w:lvlText w:val="%9."/>
      <w:lvlJc w:val="right"/>
      <w:pPr>
        <w:ind w:left="7560" w:hanging="180"/>
      </w:pPr>
      <w:rPr>
        <w:rFonts w:cs="Times New Roman"/>
      </w:rPr>
    </w:lvl>
  </w:abstractNum>
  <w:abstractNum w:abstractNumId="12">
    <w:nsid w:val="537C1239"/>
    <w:multiLevelType w:val="hybridMultilevel"/>
    <w:tmpl w:val="B6488DE6"/>
    <w:lvl w:ilvl="0" w:tplc="129E9BAC">
      <w:start w:val="1"/>
      <w:numFmt w:val="lowerRoman"/>
      <w:lvlText w:val="%1."/>
      <w:lvlJc w:val="left"/>
      <w:pPr>
        <w:ind w:left="2989"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C031B8F"/>
    <w:multiLevelType w:val="hybridMultilevel"/>
    <w:tmpl w:val="AC0A87F8"/>
    <w:lvl w:ilvl="0" w:tplc="2BCCA7FE">
      <w:start w:val="1"/>
      <w:numFmt w:val="bullet"/>
      <w:pStyle w:val="ListBullet3"/>
      <w:lvlText w:val="­"/>
      <w:lvlJc w:val="left"/>
      <w:pPr>
        <w:ind w:left="643" w:hanging="360"/>
      </w:pPr>
      <w:rPr>
        <w:rFonts w:ascii="Courier New" w:hAnsi="Courier New" w:hint="default"/>
        <w:sz w:val="14"/>
      </w:rPr>
    </w:lvl>
    <w:lvl w:ilvl="1" w:tplc="4468B308">
      <w:start w:val="1"/>
      <w:numFmt w:val="bullet"/>
      <w:lvlText w:val=""/>
      <w:lvlJc w:val="left"/>
      <w:pPr>
        <w:ind w:left="1363" w:hanging="360"/>
      </w:pPr>
      <w:rPr>
        <w:rFonts w:ascii="Symbol" w:hAnsi="Symbol" w:hint="default"/>
      </w:rPr>
    </w:lvl>
    <w:lvl w:ilvl="2" w:tplc="E9840F76">
      <w:numFmt w:val="bullet"/>
      <w:lvlText w:val="•"/>
      <w:lvlJc w:val="left"/>
      <w:pPr>
        <w:ind w:left="2443" w:hanging="720"/>
      </w:pPr>
      <w:rPr>
        <w:rFonts w:ascii="Arial Narrow" w:eastAsia="Times New Roman" w:hAnsi="Arial Narrow" w:hint="default"/>
      </w:rPr>
    </w:lvl>
    <w:lvl w:ilvl="3" w:tplc="7FC8AC5E" w:tentative="1">
      <w:start w:val="1"/>
      <w:numFmt w:val="bullet"/>
      <w:lvlText w:val=""/>
      <w:lvlJc w:val="left"/>
      <w:pPr>
        <w:ind w:left="2803" w:hanging="360"/>
      </w:pPr>
      <w:rPr>
        <w:rFonts w:ascii="Symbol" w:hAnsi="Symbol" w:hint="default"/>
      </w:rPr>
    </w:lvl>
    <w:lvl w:ilvl="4" w:tplc="33D6E004" w:tentative="1">
      <w:start w:val="1"/>
      <w:numFmt w:val="bullet"/>
      <w:lvlText w:val="o"/>
      <w:lvlJc w:val="left"/>
      <w:pPr>
        <w:ind w:left="3523" w:hanging="360"/>
      </w:pPr>
      <w:rPr>
        <w:rFonts w:ascii="Courier New" w:hAnsi="Courier New" w:hint="default"/>
      </w:rPr>
    </w:lvl>
    <w:lvl w:ilvl="5" w:tplc="B9408120" w:tentative="1">
      <w:start w:val="1"/>
      <w:numFmt w:val="bullet"/>
      <w:lvlText w:val=""/>
      <w:lvlJc w:val="left"/>
      <w:pPr>
        <w:ind w:left="4243" w:hanging="360"/>
      </w:pPr>
      <w:rPr>
        <w:rFonts w:ascii="Wingdings" w:hAnsi="Wingdings" w:hint="default"/>
      </w:rPr>
    </w:lvl>
    <w:lvl w:ilvl="6" w:tplc="32A419F8" w:tentative="1">
      <w:start w:val="1"/>
      <w:numFmt w:val="bullet"/>
      <w:lvlText w:val=""/>
      <w:lvlJc w:val="left"/>
      <w:pPr>
        <w:ind w:left="4963" w:hanging="360"/>
      </w:pPr>
      <w:rPr>
        <w:rFonts w:ascii="Symbol" w:hAnsi="Symbol" w:hint="default"/>
      </w:rPr>
    </w:lvl>
    <w:lvl w:ilvl="7" w:tplc="BEE6082E" w:tentative="1">
      <w:start w:val="1"/>
      <w:numFmt w:val="bullet"/>
      <w:lvlText w:val="o"/>
      <w:lvlJc w:val="left"/>
      <w:pPr>
        <w:ind w:left="5683" w:hanging="360"/>
      </w:pPr>
      <w:rPr>
        <w:rFonts w:ascii="Courier New" w:hAnsi="Courier New" w:hint="default"/>
      </w:rPr>
    </w:lvl>
    <w:lvl w:ilvl="8" w:tplc="2CBE0186" w:tentative="1">
      <w:start w:val="1"/>
      <w:numFmt w:val="bullet"/>
      <w:lvlText w:val=""/>
      <w:lvlJc w:val="left"/>
      <w:pPr>
        <w:ind w:left="6403" w:hanging="360"/>
      </w:pPr>
      <w:rPr>
        <w:rFonts w:ascii="Wingdings" w:hAnsi="Wingdings" w:hint="default"/>
      </w:rPr>
    </w:lvl>
  </w:abstractNum>
  <w:abstractNum w:abstractNumId="14">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796B4FB0"/>
    <w:multiLevelType w:val="hybridMultilevel"/>
    <w:tmpl w:val="97901ADE"/>
    <w:lvl w:ilvl="0" w:tplc="2FDEE63C">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2AE28664">
      <w:start w:val="1"/>
      <w:numFmt w:val="bullet"/>
      <w:lvlText w:val="o"/>
      <w:lvlJc w:val="left"/>
      <w:pPr>
        <w:ind w:left="1440" w:hanging="360"/>
      </w:pPr>
      <w:rPr>
        <w:rFonts w:ascii="Courier New" w:hAnsi="Courier New" w:hint="default"/>
      </w:rPr>
    </w:lvl>
    <w:lvl w:ilvl="2" w:tplc="3EBC3920" w:tentative="1">
      <w:start w:val="1"/>
      <w:numFmt w:val="bullet"/>
      <w:lvlText w:val=""/>
      <w:lvlJc w:val="left"/>
      <w:pPr>
        <w:ind w:left="2160" w:hanging="360"/>
      </w:pPr>
      <w:rPr>
        <w:rFonts w:ascii="Wingdings" w:hAnsi="Wingdings" w:hint="default"/>
      </w:rPr>
    </w:lvl>
    <w:lvl w:ilvl="3" w:tplc="D7E4E7E0" w:tentative="1">
      <w:start w:val="1"/>
      <w:numFmt w:val="bullet"/>
      <w:lvlText w:val=""/>
      <w:lvlJc w:val="left"/>
      <w:pPr>
        <w:ind w:left="2880" w:hanging="360"/>
      </w:pPr>
      <w:rPr>
        <w:rFonts w:ascii="Symbol" w:hAnsi="Symbol" w:hint="default"/>
      </w:rPr>
    </w:lvl>
    <w:lvl w:ilvl="4" w:tplc="0F42AF7E" w:tentative="1">
      <w:start w:val="1"/>
      <w:numFmt w:val="bullet"/>
      <w:lvlText w:val="o"/>
      <w:lvlJc w:val="left"/>
      <w:pPr>
        <w:ind w:left="3600" w:hanging="360"/>
      </w:pPr>
      <w:rPr>
        <w:rFonts w:ascii="Courier New" w:hAnsi="Courier New" w:hint="default"/>
      </w:rPr>
    </w:lvl>
    <w:lvl w:ilvl="5" w:tplc="17B49668" w:tentative="1">
      <w:start w:val="1"/>
      <w:numFmt w:val="bullet"/>
      <w:lvlText w:val=""/>
      <w:lvlJc w:val="left"/>
      <w:pPr>
        <w:ind w:left="4320" w:hanging="360"/>
      </w:pPr>
      <w:rPr>
        <w:rFonts w:ascii="Wingdings" w:hAnsi="Wingdings" w:hint="default"/>
      </w:rPr>
    </w:lvl>
    <w:lvl w:ilvl="6" w:tplc="8B7A3688" w:tentative="1">
      <w:start w:val="1"/>
      <w:numFmt w:val="bullet"/>
      <w:lvlText w:val=""/>
      <w:lvlJc w:val="left"/>
      <w:pPr>
        <w:ind w:left="5040" w:hanging="360"/>
      </w:pPr>
      <w:rPr>
        <w:rFonts w:ascii="Symbol" w:hAnsi="Symbol" w:hint="default"/>
      </w:rPr>
    </w:lvl>
    <w:lvl w:ilvl="7" w:tplc="486A7360" w:tentative="1">
      <w:start w:val="1"/>
      <w:numFmt w:val="bullet"/>
      <w:lvlText w:val="o"/>
      <w:lvlJc w:val="left"/>
      <w:pPr>
        <w:ind w:left="5760" w:hanging="360"/>
      </w:pPr>
      <w:rPr>
        <w:rFonts w:ascii="Courier New" w:hAnsi="Courier New" w:hint="default"/>
      </w:rPr>
    </w:lvl>
    <w:lvl w:ilvl="8" w:tplc="94B0B2FC" w:tentative="1">
      <w:start w:val="1"/>
      <w:numFmt w:val="bullet"/>
      <w:lvlText w:val=""/>
      <w:lvlJc w:val="left"/>
      <w:pPr>
        <w:ind w:left="6480" w:hanging="360"/>
      </w:pPr>
      <w:rPr>
        <w:rFonts w:ascii="Wingdings" w:hAnsi="Wingdings" w:hint="default"/>
      </w:rPr>
    </w:lvl>
  </w:abstractNum>
  <w:abstractNum w:abstractNumId="16">
    <w:nsid w:val="7C146341"/>
    <w:multiLevelType w:val="multilevel"/>
    <w:tmpl w:val="01A0A9F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2"/>
  </w:num>
  <w:num w:numId="23">
    <w:abstractNumId w:val="0"/>
  </w:num>
  <w:num w:numId="24">
    <w:abstractNumId w:val="1"/>
  </w:num>
  <w:num w:numId="25">
    <w:abstractNumId w:val="3"/>
  </w:num>
  <w:num w:numId="26">
    <w:abstractNumId w:val="2"/>
  </w:num>
  <w:num w:numId="27">
    <w:abstractNumId w:val="0"/>
  </w:num>
  <w:num w:numId="28">
    <w:abstractNumId w:val="1"/>
  </w:num>
  <w:num w:numId="29">
    <w:abstractNumId w:val="14"/>
  </w:num>
  <w:num w:numId="30">
    <w:abstractNumId w:val="9"/>
  </w:num>
  <w:num w:numId="31">
    <w:abstractNumId w:val="8"/>
  </w:num>
  <w:num w:numId="32">
    <w:abstractNumId w:val="4"/>
  </w:num>
  <w:num w:numId="33">
    <w:abstractNumId w:val="5"/>
  </w:num>
  <w:num w:numId="34">
    <w:abstractNumId w:val="15"/>
  </w:num>
  <w:num w:numId="35">
    <w:abstractNumId w:val="13"/>
  </w:num>
  <w:num w:numId="36">
    <w:abstractNumId w:val="10"/>
  </w:num>
  <w:num w:numId="37">
    <w:abstractNumId w:val="7"/>
  </w:num>
  <w:num w:numId="38">
    <w:abstractNumId w:val="12"/>
  </w:num>
  <w:num w:numId="39">
    <w:abstractNumId w:val="16"/>
  </w:num>
  <w:num w:numId="40">
    <w:abstractNumId w:val="6"/>
  </w:num>
  <w:num w:numId="4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E5E"/>
    <w:rsid w:val="000005F7"/>
    <w:rsid w:val="00000660"/>
    <w:rsid w:val="00000833"/>
    <w:rsid w:val="000026B3"/>
    <w:rsid w:val="00003C60"/>
    <w:rsid w:val="0000421D"/>
    <w:rsid w:val="00004740"/>
    <w:rsid w:val="00004785"/>
    <w:rsid w:val="00005204"/>
    <w:rsid w:val="000052BA"/>
    <w:rsid w:val="0001011A"/>
    <w:rsid w:val="00010C17"/>
    <w:rsid w:val="00011063"/>
    <w:rsid w:val="00011542"/>
    <w:rsid w:val="000127DD"/>
    <w:rsid w:val="00012901"/>
    <w:rsid w:val="00014293"/>
    <w:rsid w:val="00014D2E"/>
    <w:rsid w:val="00016FC5"/>
    <w:rsid w:val="00017087"/>
    <w:rsid w:val="000171F1"/>
    <w:rsid w:val="000176FC"/>
    <w:rsid w:val="0002005F"/>
    <w:rsid w:val="0002210D"/>
    <w:rsid w:val="00022628"/>
    <w:rsid w:val="00025166"/>
    <w:rsid w:val="000269FA"/>
    <w:rsid w:val="00027902"/>
    <w:rsid w:val="00027B72"/>
    <w:rsid w:val="0003000F"/>
    <w:rsid w:val="0003063B"/>
    <w:rsid w:val="0003066A"/>
    <w:rsid w:val="000309B2"/>
    <w:rsid w:val="00033074"/>
    <w:rsid w:val="00033777"/>
    <w:rsid w:val="00033936"/>
    <w:rsid w:val="0003499F"/>
    <w:rsid w:val="000358DC"/>
    <w:rsid w:val="00035F95"/>
    <w:rsid w:val="0003752F"/>
    <w:rsid w:val="00037D5A"/>
    <w:rsid w:val="00040974"/>
    <w:rsid w:val="00040D39"/>
    <w:rsid w:val="00040D66"/>
    <w:rsid w:val="0004197D"/>
    <w:rsid w:val="000435CA"/>
    <w:rsid w:val="00044222"/>
    <w:rsid w:val="00044E2B"/>
    <w:rsid w:val="000454CD"/>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282A"/>
    <w:rsid w:val="000634ED"/>
    <w:rsid w:val="00064BD0"/>
    <w:rsid w:val="000655D5"/>
    <w:rsid w:val="0006580A"/>
    <w:rsid w:val="00065B66"/>
    <w:rsid w:val="00066567"/>
    <w:rsid w:val="00066709"/>
    <w:rsid w:val="0007094B"/>
    <w:rsid w:val="000710DE"/>
    <w:rsid w:val="00071749"/>
    <w:rsid w:val="00071B6B"/>
    <w:rsid w:val="00071F47"/>
    <w:rsid w:val="000726DA"/>
    <w:rsid w:val="000727A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2252"/>
    <w:rsid w:val="000825C2"/>
    <w:rsid w:val="00085597"/>
    <w:rsid w:val="00085790"/>
    <w:rsid w:val="0008700B"/>
    <w:rsid w:val="0008725B"/>
    <w:rsid w:val="00090365"/>
    <w:rsid w:val="00090752"/>
    <w:rsid w:val="000910D7"/>
    <w:rsid w:val="00091FA5"/>
    <w:rsid w:val="00092D05"/>
    <w:rsid w:val="00094D0E"/>
    <w:rsid w:val="000953DC"/>
    <w:rsid w:val="00096576"/>
    <w:rsid w:val="00097091"/>
    <w:rsid w:val="0009759A"/>
    <w:rsid w:val="00097833"/>
    <w:rsid w:val="000A0FB4"/>
    <w:rsid w:val="000A1130"/>
    <w:rsid w:val="000A18C2"/>
    <w:rsid w:val="000A1D63"/>
    <w:rsid w:val="000A273A"/>
    <w:rsid w:val="000A3808"/>
    <w:rsid w:val="000A42B2"/>
    <w:rsid w:val="000A609A"/>
    <w:rsid w:val="000A6EF5"/>
    <w:rsid w:val="000A7AEB"/>
    <w:rsid w:val="000B0280"/>
    <w:rsid w:val="000B0814"/>
    <w:rsid w:val="000B1C1E"/>
    <w:rsid w:val="000B39F3"/>
    <w:rsid w:val="000B41AB"/>
    <w:rsid w:val="000B4403"/>
    <w:rsid w:val="000B44C0"/>
    <w:rsid w:val="000B4619"/>
    <w:rsid w:val="000B485A"/>
    <w:rsid w:val="000B58F6"/>
    <w:rsid w:val="000B5E14"/>
    <w:rsid w:val="000B61A4"/>
    <w:rsid w:val="000B746C"/>
    <w:rsid w:val="000B7D93"/>
    <w:rsid w:val="000C0F9A"/>
    <w:rsid w:val="000C1BCA"/>
    <w:rsid w:val="000C35DA"/>
    <w:rsid w:val="000C36C9"/>
    <w:rsid w:val="000C38A7"/>
    <w:rsid w:val="000C38AA"/>
    <w:rsid w:val="000C6424"/>
    <w:rsid w:val="000C65EA"/>
    <w:rsid w:val="000C691A"/>
    <w:rsid w:val="000C7337"/>
    <w:rsid w:val="000D05CB"/>
    <w:rsid w:val="000D3F78"/>
    <w:rsid w:val="000D41B8"/>
    <w:rsid w:val="000D5C9D"/>
    <w:rsid w:val="000D5FB6"/>
    <w:rsid w:val="000D63F0"/>
    <w:rsid w:val="000D6FD7"/>
    <w:rsid w:val="000D7F35"/>
    <w:rsid w:val="000E12D6"/>
    <w:rsid w:val="000E18B3"/>
    <w:rsid w:val="000E2883"/>
    <w:rsid w:val="000E39D5"/>
    <w:rsid w:val="000E4607"/>
    <w:rsid w:val="000E4CC8"/>
    <w:rsid w:val="000E567D"/>
    <w:rsid w:val="000E7582"/>
    <w:rsid w:val="000F047D"/>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0D"/>
    <w:rsid w:val="00106FFA"/>
    <w:rsid w:val="00111E20"/>
    <w:rsid w:val="00111E9C"/>
    <w:rsid w:val="00112E4B"/>
    <w:rsid w:val="00112FD3"/>
    <w:rsid w:val="00113F02"/>
    <w:rsid w:val="001141C6"/>
    <w:rsid w:val="001155E5"/>
    <w:rsid w:val="00115A3C"/>
    <w:rsid w:val="0012117D"/>
    <w:rsid w:val="0012121D"/>
    <w:rsid w:val="0012141B"/>
    <w:rsid w:val="0012182A"/>
    <w:rsid w:val="00121FCF"/>
    <w:rsid w:val="00122851"/>
    <w:rsid w:val="001238ED"/>
    <w:rsid w:val="00123C59"/>
    <w:rsid w:val="00124C0F"/>
    <w:rsid w:val="00125500"/>
    <w:rsid w:val="0012564F"/>
    <w:rsid w:val="00125C52"/>
    <w:rsid w:val="001302D6"/>
    <w:rsid w:val="00130C09"/>
    <w:rsid w:val="00130EDF"/>
    <w:rsid w:val="00130FCF"/>
    <w:rsid w:val="0013164C"/>
    <w:rsid w:val="00131D0C"/>
    <w:rsid w:val="00131DE4"/>
    <w:rsid w:val="0013206B"/>
    <w:rsid w:val="00132A2E"/>
    <w:rsid w:val="00132E3E"/>
    <w:rsid w:val="00134993"/>
    <w:rsid w:val="00136608"/>
    <w:rsid w:val="00136E47"/>
    <w:rsid w:val="001370AC"/>
    <w:rsid w:val="001371A7"/>
    <w:rsid w:val="00137567"/>
    <w:rsid w:val="00137ACC"/>
    <w:rsid w:val="00137FE6"/>
    <w:rsid w:val="00140101"/>
    <w:rsid w:val="0014109D"/>
    <w:rsid w:val="00141AD9"/>
    <w:rsid w:val="001422FD"/>
    <w:rsid w:val="00143593"/>
    <w:rsid w:val="00143D37"/>
    <w:rsid w:val="00143FC6"/>
    <w:rsid w:val="0014448A"/>
    <w:rsid w:val="00144F84"/>
    <w:rsid w:val="00144F96"/>
    <w:rsid w:val="00145092"/>
    <w:rsid w:val="00145A14"/>
    <w:rsid w:val="00145A30"/>
    <w:rsid w:val="00146FFC"/>
    <w:rsid w:val="001476B3"/>
    <w:rsid w:val="00147A78"/>
    <w:rsid w:val="00147C51"/>
    <w:rsid w:val="00147E0F"/>
    <w:rsid w:val="00150822"/>
    <w:rsid w:val="00151800"/>
    <w:rsid w:val="00152706"/>
    <w:rsid w:val="00152B33"/>
    <w:rsid w:val="00154587"/>
    <w:rsid w:val="00154D6D"/>
    <w:rsid w:val="00155D05"/>
    <w:rsid w:val="0015677A"/>
    <w:rsid w:val="0015718A"/>
    <w:rsid w:val="00157F16"/>
    <w:rsid w:val="001604FE"/>
    <w:rsid w:val="00160D4D"/>
    <w:rsid w:val="00160E7E"/>
    <w:rsid w:val="001619F2"/>
    <w:rsid w:val="00161A6E"/>
    <w:rsid w:val="00161DFF"/>
    <w:rsid w:val="00161EF7"/>
    <w:rsid w:val="001625CF"/>
    <w:rsid w:val="00162A45"/>
    <w:rsid w:val="001653BC"/>
    <w:rsid w:val="001668D7"/>
    <w:rsid w:val="00166A4A"/>
    <w:rsid w:val="00167BAF"/>
    <w:rsid w:val="00172310"/>
    <w:rsid w:val="0017244B"/>
    <w:rsid w:val="00172FF4"/>
    <w:rsid w:val="0017567B"/>
    <w:rsid w:val="001759FC"/>
    <w:rsid w:val="001767C8"/>
    <w:rsid w:val="00176FE1"/>
    <w:rsid w:val="00180735"/>
    <w:rsid w:val="001818D1"/>
    <w:rsid w:val="00182025"/>
    <w:rsid w:val="001823BA"/>
    <w:rsid w:val="001823C0"/>
    <w:rsid w:val="00183177"/>
    <w:rsid w:val="00183E5F"/>
    <w:rsid w:val="00183F7C"/>
    <w:rsid w:val="0018531E"/>
    <w:rsid w:val="001855CD"/>
    <w:rsid w:val="00185BBF"/>
    <w:rsid w:val="001878A1"/>
    <w:rsid w:val="0019006E"/>
    <w:rsid w:val="00191B05"/>
    <w:rsid w:val="00193586"/>
    <w:rsid w:val="00194A48"/>
    <w:rsid w:val="001973AC"/>
    <w:rsid w:val="00197D70"/>
    <w:rsid w:val="001A0728"/>
    <w:rsid w:val="001A09FF"/>
    <w:rsid w:val="001A22A4"/>
    <w:rsid w:val="001A450D"/>
    <w:rsid w:val="001A69DA"/>
    <w:rsid w:val="001A6B86"/>
    <w:rsid w:val="001A6E94"/>
    <w:rsid w:val="001B1E03"/>
    <w:rsid w:val="001B237A"/>
    <w:rsid w:val="001B2B29"/>
    <w:rsid w:val="001B3DC8"/>
    <w:rsid w:val="001B684E"/>
    <w:rsid w:val="001B6AA0"/>
    <w:rsid w:val="001C1551"/>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4F16"/>
    <w:rsid w:val="001D7832"/>
    <w:rsid w:val="001D7D5E"/>
    <w:rsid w:val="001D7DF3"/>
    <w:rsid w:val="001E0406"/>
    <w:rsid w:val="001E09BC"/>
    <w:rsid w:val="001E0BC5"/>
    <w:rsid w:val="001E0E8E"/>
    <w:rsid w:val="001E1140"/>
    <w:rsid w:val="001E1D16"/>
    <w:rsid w:val="001E24E7"/>
    <w:rsid w:val="001E3432"/>
    <w:rsid w:val="001E4195"/>
    <w:rsid w:val="001E471D"/>
    <w:rsid w:val="001E4732"/>
    <w:rsid w:val="001E48E7"/>
    <w:rsid w:val="001E4900"/>
    <w:rsid w:val="001E492A"/>
    <w:rsid w:val="001E5244"/>
    <w:rsid w:val="001E55EC"/>
    <w:rsid w:val="001E5849"/>
    <w:rsid w:val="001E6A2B"/>
    <w:rsid w:val="001E73C8"/>
    <w:rsid w:val="001F0978"/>
    <w:rsid w:val="001F14CA"/>
    <w:rsid w:val="001F1E34"/>
    <w:rsid w:val="001F2BAF"/>
    <w:rsid w:val="001F64D4"/>
    <w:rsid w:val="001F6B55"/>
    <w:rsid w:val="001F7A09"/>
    <w:rsid w:val="00200CCE"/>
    <w:rsid w:val="00203988"/>
    <w:rsid w:val="00204F2D"/>
    <w:rsid w:val="00205C28"/>
    <w:rsid w:val="0020623C"/>
    <w:rsid w:val="00206B2B"/>
    <w:rsid w:val="00206DA6"/>
    <w:rsid w:val="00211100"/>
    <w:rsid w:val="00212662"/>
    <w:rsid w:val="0021416F"/>
    <w:rsid w:val="00214B11"/>
    <w:rsid w:val="002155EF"/>
    <w:rsid w:val="00215F97"/>
    <w:rsid w:val="0021704D"/>
    <w:rsid w:val="00217BEF"/>
    <w:rsid w:val="00220CFE"/>
    <w:rsid w:val="00221457"/>
    <w:rsid w:val="0022166F"/>
    <w:rsid w:val="00223A66"/>
    <w:rsid w:val="00224BB9"/>
    <w:rsid w:val="00225D77"/>
    <w:rsid w:val="002273B8"/>
    <w:rsid w:val="00230DA0"/>
    <w:rsid w:val="00231270"/>
    <w:rsid w:val="002317B4"/>
    <w:rsid w:val="0023289F"/>
    <w:rsid w:val="0023595B"/>
    <w:rsid w:val="00236F6E"/>
    <w:rsid w:val="00237B01"/>
    <w:rsid w:val="00240212"/>
    <w:rsid w:val="002409E8"/>
    <w:rsid w:val="00240E68"/>
    <w:rsid w:val="00241ABD"/>
    <w:rsid w:val="002420C0"/>
    <w:rsid w:val="00243AB0"/>
    <w:rsid w:val="00243F3D"/>
    <w:rsid w:val="0024568F"/>
    <w:rsid w:val="00245CB7"/>
    <w:rsid w:val="00246164"/>
    <w:rsid w:val="00246332"/>
    <w:rsid w:val="002476FC"/>
    <w:rsid w:val="00250B85"/>
    <w:rsid w:val="0025163D"/>
    <w:rsid w:val="00252543"/>
    <w:rsid w:val="002530E4"/>
    <w:rsid w:val="002543F2"/>
    <w:rsid w:val="00254640"/>
    <w:rsid w:val="00254768"/>
    <w:rsid w:val="00257B40"/>
    <w:rsid w:val="00260DDC"/>
    <w:rsid w:val="002631BC"/>
    <w:rsid w:val="002657DE"/>
    <w:rsid w:val="00265C9A"/>
    <w:rsid w:val="0026636C"/>
    <w:rsid w:val="002670CA"/>
    <w:rsid w:val="0026785E"/>
    <w:rsid w:val="00267BDB"/>
    <w:rsid w:val="00270AF4"/>
    <w:rsid w:val="0027133C"/>
    <w:rsid w:val="00271E67"/>
    <w:rsid w:val="00272598"/>
    <w:rsid w:val="002725FF"/>
    <w:rsid w:val="00273032"/>
    <w:rsid w:val="00275BB9"/>
    <w:rsid w:val="00275C2D"/>
    <w:rsid w:val="00275C6C"/>
    <w:rsid w:val="00276A21"/>
    <w:rsid w:val="002817D0"/>
    <w:rsid w:val="0028203A"/>
    <w:rsid w:val="002823DE"/>
    <w:rsid w:val="0028260A"/>
    <w:rsid w:val="00283372"/>
    <w:rsid w:val="0028460B"/>
    <w:rsid w:val="00285AED"/>
    <w:rsid w:val="00286699"/>
    <w:rsid w:val="0028682E"/>
    <w:rsid w:val="00286C8B"/>
    <w:rsid w:val="00286FB7"/>
    <w:rsid w:val="002876F0"/>
    <w:rsid w:val="00287804"/>
    <w:rsid w:val="00290774"/>
    <w:rsid w:val="00293308"/>
    <w:rsid w:val="00293344"/>
    <w:rsid w:val="00293423"/>
    <w:rsid w:val="002936ED"/>
    <w:rsid w:val="00293A10"/>
    <w:rsid w:val="00293F45"/>
    <w:rsid w:val="00294B87"/>
    <w:rsid w:val="0029569E"/>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21AC"/>
    <w:rsid w:val="002B383C"/>
    <w:rsid w:val="002B4563"/>
    <w:rsid w:val="002B6090"/>
    <w:rsid w:val="002B64E8"/>
    <w:rsid w:val="002B7731"/>
    <w:rsid w:val="002B7B05"/>
    <w:rsid w:val="002C04E2"/>
    <w:rsid w:val="002C1F34"/>
    <w:rsid w:val="002C237D"/>
    <w:rsid w:val="002C373F"/>
    <w:rsid w:val="002C3B4A"/>
    <w:rsid w:val="002C5A71"/>
    <w:rsid w:val="002C5F3D"/>
    <w:rsid w:val="002C7A12"/>
    <w:rsid w:val="002C7E2E"/>
    <w:rsid w:val="002D0177"/>
    <w:rsid w:val="002D05FB"/>
    <w:rsid w:val="002D22CB"/>
    <w:rsid w:val="002D2449"/>
    <w:rsid w:val="002D4C31"/>
    <w:rsid w:val="002D50FD"/>
    <w:rsid w:val="002D59F4"/>
    <w:rsid w:val="002D6687"/>
    <w:rsid w:val="002D6761"/>
    <w:rsid w:val="002E02D6"/>
    <w:rsid w:val="002E061A"/>
    <w:rsid w:val="002E1174"/>
    <w:rsid w:val="002E1BF3"/>
    <w:rsid w:val="002E4415"/>
    <w:rsid w:val="002E4F9D"/>
    <w:rsid w:val="002E51A0"/>
    <w:rsid w:val="002E72FA"/>
    <w:rsid w:val="002E7D45"/>
    <w:rsid w:val="002E7DCC"/>
    <w:rsid w:val="002F00E5"/>
    <w:rsid w:val="002F0AAC"/>
    <w:rsid w:val="002F1190"/>
    <w:rsid w:val="002F1D06"/>
    <w:rsid w:val="002F2D48"/>
    <w:rsid w:val="002F2E75"/>
    <w:rsid w:val="002F4982"/>
    <w:rsid w:val="002F549A"/>
    <w:rsid w:val="002F580B"/>
    <w:rsid w:val="002F6B51"/>
    <w:rsid w:val="002F7016"/>
    <w:rsid w:val="002F7AB9"/>
    <w:rsid w:val="002F7C65"/>
    <w:rsid w:val="003007E2"/>
    <w:rsid w:val="00300C03"/>
    <w:rsid w:val="003011C9"/>
    <w:rsid w:val="00301346"/>
    <w:rsid w:val="0030340D"/>
    <w:rsid w:val="003034C4"/>
    <w:rsid w:val="0030362B"/>
    <w:rsid w:val="00304B4B"/>
    <w:rsid w:val="00305A44"/>
    <w:rsid w:val="0030643F"/>
    <w:rsid w:val="00307866"/>
    <w:rsid w:val="0031042C"/>
    <w:rsid w:val="00310A2B"/>
    <w:rsid w:val="00310BCC"/>
    <w:rsid w:val="00313D0F"/>
    <w:rsid w:val="0031560A"/>
    <w:rsid w:val="003157D8"/>
    <w:rsid w:val="003157EC"/>
    <w:rsid w:val="0031742A"/>
    <w:rsid w:val="00317C66"/>
    <w:rsid w:val="00320BF6"/>
    <w:rsid w:val="003221BA"/>
    <w:rsid w:val="00322890"/>
    <w:rsid w:val="00322D06"/>
    <w:rsid w:val="00323A39"/>
    <w:rsid w:val="00323B84"/>
    <w:rsid w:val="003246D8"/>
    <w:rsid w:val="00324E82"/>
    <w:rsid w:val="00325814"/>
    <w:rsid w:val="00325C1A"/>
    <w:rsid w:val="003276E9"/>
    <w:rsid w:val="00327C10"/>
    <w:rsid w:val="00330714"/>
    <w:rsid w:val="00332475"/>
    <w:rsid w:val="0033305A"/>
    <w:rsid w:val="003339E1"/>
    <w:rsid w:val="0033470A"/>
    <w:rsid w:val="00334C8C"/>
    <w:rsid w:val="00334E4C"/>
    <w:rsid w:val="003355E2"/>
    <w:rsid w:val="003361C1"/>
    <w:rsid w:val="00336332"/>
    <w:rsid w:val="00336458"/>
    <w:rsid w:val="00340577"/>
    <w:rsid w:val="003406D9"/>
    <w:rsid w:val="00340B46"/>
    <w:rsid w:val="00340BF0"/>
    <w:rsid w:val="0034178D"/>
    <w:rsid w:val="00341C7C"/>
    <w:rsid w:val="00342139"/>
    <w:rsid w:val="003421D6"/>
    <w:rsid w:val="00342414"/>
    <w:rsid w:val="003431D3"/>
    <w:rsid w:val="00343BCA"/>
    <w:rsid w:val="00343E01"/>
    <w:rsid w:val="003443F6"/>
    <w:rsid w:val="00344C92"/>
    <w:rsid w:val="00344EE5"/>
    <w:rsid w:val="00344EEA"/>
    <w:rsid w:val="00344F87"/>
    <w:rsid w:val="00347C04"/>
    <w:rsid w:val="00347F3D"/>
    <w:rsid w:val="003513C0"/>
    <w:rsid w:val="00352395"/>
    <w:rsid w:val="00352701"/>
    <w:rsid w:val="003537A7"/>
    <w:rsid w:val="003541A9"/>
    <w:rsid w:val="00354327"/>
    <w:rsid w:val="00354927"/>
    <w:rsid w:val="003554FE"/>
    <w:rsid w:val="00360976"/>
    <w:rsid w:val="00360F40"/>
    <w:rsid w:val="0036195D"/>
    <w:rsid w:val="00361A03"/>
    <w:rsid w:val="00362356"/>
    <w:rsid w:val="003623F7"/>
    <w:rsid w:val="003629D4"/>
    <w:rsid w:val="00363310"/>
    <w:rsid w:val="00364E6C"/>
    <w:rsid w:val="00365F52"/>
    <w:rsid w:val="00366215"/>
    <w:rsid w:val="00366F67"/>
    <w:rsid w:val="00367A46"/>
    <w:rsid w:val="00367CDB"/>
    <w:rsid w:val="00367ECE"/>
    <w:rsid w:val="003705C6"/>
    <w:rsid w:val="00372D1C"/>
    <w:rsid w:val="003736C3"/>
    <w:rsid w:val="00374811"/>
    <w:rsid w:val="003752B5"/>
    <w:rsid w:val="00375FD0"/>
    <w:rsid w:val="003769D1"/>
    <w:rsid w:val="00380DF9"/>
    <w:rsid w:val="003824B8"/>
    <w:rsid w:val="00384D01"/>
    <w:rsid w:val="00385451"/>
    <w:rsid w:val="00386224"/>
    <w:rsid w:val="00386697"/>
    <w:rsid w:val="00386D99"/>
    <w:rsid w:val="00387BE0"/>
    <w:rsid w:val="0039016A"/>
    <w:rsid w:val="00390B36"/>
    <w:rsid w:val="00392395"/>
    <w:rsid w:val="00392481"/>
    <w:rsid w:val="00393E92"/>
    <w:rsid w:val="0039537D"/>
    <w:rsid w:val="00395639"/>
    <w:rsid w:val="00395E15"/>
    <w:rsid w:val="0039630B"/>
    <w:rsid w:val="00396F8D"/>
    <w:rsid w:val="00397301"/>
    <w:rsid w:val="00397DBF"/>
    <w:rsid w:val="00397E3D"/>
    <w:rsid w:val="003A055F"/>
    <w:rsid w:val="003A3425"/>
    <w:rsid w:val="003A38BF"/>
    <w:rsid w:val="003A654D"/>
    <w:rsid w:val="003A724E"/>
    <w:rsid w:val="003A7301"/>
    <w:rsid w:val="003B0BED"/>
    <w:rsid w:val="003B1260"/>
    <w:rsid w:val="003B22AC"/>
    <w:rsid w:val="003B4370"/>
    <w:rsid w:val="003B47B7"/>
    <w:rsid w:val="003B4CF5"/>
    <w:rsid w:val="003B4D3D"/>
    <w:rsid w:val="003B621E"/>
    <w:rsid w:val="003B6506"/>
    <w:rsid w:val="003B7361"/>
    <w:rsid w:val="003B73B9"/>
    <w:rsid w:val="003B7D06"/>
    <w:rsid w:val="003B7EA9"/>
    <w:rsid w:val="003C0118"/>
    <w:rsid w:val="003C0B7C"/>
    <w:rsid w:val="003C130B"/>
    <w:rsid w:val="003C16FF"/>
    <w:rsid w:val="003C2748"/>
    <w:rsid w:val="003C2ABE"/>
    <w:rsid w:val="003C3111"/>
    <w:rsid w:val="003C4108"/>
    <w:rsid w:val="003C4DC4"/>
    <w:rsid w:val="003C5250"/>
    <w:rsid w:val="003C5ACD"/>
    <w:rsid w:val="003C5CCD"/>
    <w:rsid w:val="003C6D08"/>
    <w:rsid w:val="003C6F3B"/>
    <w:rsid w:val="003C788E"/>
    <w:rsid w:val="003C7E84"/>
    <w:rsid w:val="003D06B4"/>
    <w:rsid w:val="003D17FC"/>
    <w:rsid w:val="003D38D7"/>
    <w:rsid w:val="003D3988"/>
    <w:rsid w:val="003D4D88"/>
    <w:rsid w:val="003D5128"/>
    <w:rsid w:val="003D5155"/>
    <w:rsid w:val="003D54BA"/>
    <w:rsid w:val="003D696F"/>
    <w:rsid w:val="003D7B72"/>
    <w:rsid w:val="003D7D4D"/>
    <w:rsid w:val="003E086D"/>
    <w:rsid w:val="003E0BE2"/>
    <w:rsid w:val="003E1232"/>
    <w:rsid w:val="003E1241"/>
    <w:rsid w:val="003E1B49"/>
    <w:rsid w:val="003E1E39"/>
    <w:rsid w:val="003E20BE"/>
    <w:rsid w:val="003E380E"/>
    <w:rsid w:val="003E38CF"/>
    <w:rsid w:val="003E5E7D"/>
    <w:rsid w:val="003E6BC3"/>
    <w:rsid w:val="003E79A0"/>
    <w:rsid w:val="003E7DFA"/>
    <w:rsid w:val="003E7EAB"/>
    <w:rsid w:val="003F129A"/>
    <w:rsid w:val="003F1A80"/>
    <w:rsid w:val="003F2522"/>
    <w:rsid w:val="003F2B9B"/>
    <w:rsid w:val="003F38C0"/>
    <w:rsid w:val="003F4194"/>
    <w:rsid w:val="003F4AB1"/>
    <w:rsid w:val="003F57F1"/>
    <w:rsid w:val="003F58A8"/>
    <w:rsid w:val="003F5C16"/>
    <w:rsid w:val="003F5CD6"/>
    <w:rsid w:val="003F6C41"/>
    <w:rsid w:val="003F7D05"/>
    <w:rsid w:val="0040012A"/>
    <w:rsid w:val="00401A62"/>
    <w:rsid w:val="00401D97"/>
    <w:rsid w:val="004026F7"/>
    <w:rsid w:val="0040285D"/>
    <w:rsid w:val="004028D4"/>
    <w:rsid w:val="004030FB"/>
    <w:rsid w:val="004033A8"/>
    <w:rsid w:val="00403CF1"/>
    <w:rsid w:val="00403F32"/>
    <w:rsid w:val="00404536"/>
    <w:rsid w:val="004045D3"/>
    <w:rsid w:val="0040670A"/>
    <w:rsid w:val="00407C3B"/>
    <w:rsid w:val="00407F22"/>
    <w:rsid w:val="00412772"/>
    <w:rsid w:val="0041283D"/>
    <w:rsid w:val="00415081"/>
    <w:rsid w:val="004150AD"/>
    <w:rsid w:val="004151D4"/>
    <w:rsid w:val="004165ED"/>
    <w:rsid w:val="00417015"/>
    <w:rsid w:val="00417CFB"/>
    <w:rsid w:val="00420EB1"/>
    <w:rsid w:val="00422851"/>
    <w:rsid w:val="00424D68"/>
    <w:rsid w:val="004254EB"/>
    <w:rsid w:val="00425959"/>
    <w:rsid w:val="00426092"/>
    <w:rsid w:val="0042696C"/>
    <w:rsid w:val="00427300"/>
    <w:rsid w:val="004277FA"/>
    <w:rsid w:val="004279F2"/>
    <w:rsid w:val="00430238"/>
    <w:rsid w:val="00430452"/>
    <w:rsid w:val="00431270"/>
    <w:rsid w:val="0043196E"/>
    <w:rsid w:val="00431ECA"/>
    <w:rsid w:val="0043226F"/>
    <w:rsid w:val="004324D9"/>
    <w:rsid w:val="00432916"/>
    <w:rsid w:val="00433A1A"/>
    <w:rsid w:val="00434D96"/>
    <w:rsid w:val="0043501D"/>
    <w:rsid w:val="00435942"/>
    <w:rsid w:val="0043596C"/>
    <w:rsid w:val="00435EA2"/>
    <w:rsid w:val="00436632"/>
    <w:rsid w:val="00440793"/>
    <w:rsid w:val="00441066"/>
    <w:rsid w:val="00441F97"/>
    <w:rsid w:val="00443017"/>
    <w:rsid w:val="00443F70"/>
    <w:rsid w:val="00445DC1"/>
    <w:rsid w:val="00446276"/>
    <w:rsid w:val="00446369"/>
    <w:rsid w:val="00447B34"/>
    <w:rsid w:val="00451030"/>
    <w:rsid w:val="00451C1A"/>
    <w:rsid w:val="00451CD6"/>
    <w:rsid w:val="0045217D"/>
    <w:rsid w:val="00452497"/>
    <w:rsid w:val="00452985"/>
    <w:rsid w:val="00453183"/>
    <w:rsid w:val="00453F2D"/>
    <w:rsid w:val="004559D1"/>
    <w:rsid w:val="00456259"/>
    <w:rsid w:val="0045721C"/>
    <w:rsid w:val="00457D29"/>
    <w:rsid w:val="004608BF"/>
    <w:rsid w:val="00460B6D"/>
    <w:rsid w:val="00460FB6"/>
    <w:rsid w:val="0046102C"/>
    <w:rsid w:val="00461057"/>
    <w:rsid w:val="00461C59"/>
    <w:rsid w:val="00461DE8"/>
    <w:rsid w:val="004623FA"/>
    <w:rsid w:val="004625D9"/>
    <w:rsid w:val="0046382C"/>
    <w:rsid w:val="00464252"/>
    <w:rsid w:val="00464658"/>
    <w:rsid w:val="00465859"/>
    <w:rsid w:val="004668B8"/>
    <w:rsid w:val="00467BCF"/>
    <w:rsid w:val="00467EC8"/>
    <w:rsid w:val="0047127A"/>
    <w:rsid w:val="004719FC"/>
    <w:rsid w:val="004722C3"/>
    <w:rsid w:val="004722C9"/>
    <w:rsid w:val="00472E49"/>
    <w:rsid w:val="00473AEC"/>
    <w:rsid w:val="004749D4"/>
    <w:rsid w:val="00474DDE"/>
    <w:rsid w:val="00474E37"/>
    <w:rsid w:val="004752DD"/>
    <w:rsid w:val="00476561"/>
    <w:rsid w:val="00476A05"/>
    <w:rsid w:val="00477977"/>
    <w:rsid w:val="0048114D"/>
    <w:rsid w:val="0048121C"/>
    <w:rsid w:val="0048130F"/>
    <w:rsid w:val="004827BD"/>
    <w:rsid w:val="00483FF7"/>
    <w:rsid w:val="00484425"/>
    <w:rsid w:val="00484AF8"/>
    <w:rsid w:val="004855DD"/>
    <w:rsid w:val="00486AC7"/>
    <w:rsid w:val="00490E07"/>
    <w:rsid w:val="004928DC"/>
    <w:rsid w:val="00494023"/>
    <w:rsid w:val="004944A2"/>
    <w:rsid w:val="0049538F"/>
    <w:rsid w:val="00495C68"/>
    <w:rsid w:val="00496281"/>
    <w:rsid w:val="0049685D"/>
    <w:rsid w:val="004A13F3"/>
    <w:rsid w:val="004A1A52"/>
    <w:rsid w:val="004A2759"/>
    <w:rsid w:val="004A290D"/>
    <w:rsid w:val="004A5FFD"/>
    <w:rsid w:val="004B0124"/>
    <w:rsid w:val="004B0202"/>
    <w:rsid w:val="004B04EA"/>
    <w:rsid w:val="004B128D"/>
    <w:rsid w:val="004B1352"/>
    <w:rsid w:val="004B19D0"/>
    <w:rsid w:val="004B1A7E"/>
    <w:rsid w:val="004B20D9"/>
    <w:rsid w:val="004B2176"/>
    <w:rsid w:val="004B224E"/>
    <w:rsid w:val="004B3F23"/>
    <w:rsid w:val="004B48DB"/>
    <w:rsid w:val="004B4910"/>
    <w:rsid w:val="004B51CF"/>
    <w:rsid w:val="004B7FE0"/>
    <w:rsid w:val="004C0E63"/>
    <w:rsid w:val="004C181B"/>
    <w:rsid w:val="004C298B"/>
    <w:rsid w:val="004C325D"/>
    <w:rsid w:val="004C4D7F"/>
    <w:rsid w:val="004D33EB"/>
    <w:rsid w:val="004D4575"/>
    <w:rsid w:val="004D46C0"/>
    <w:rsid w:val="004D4AF8"/>
    <w:rsid w:val="004D4D81"/>
    <w:rsid w:val="004D5842"/>
    <w:rsid w:val="004D5878"/>
    <w:rsid w:val="004D5CF0"/>
    <w:rsid w:val="004D695B"/>
    <w:rsid w:val="004D765B"/>
    <w:rsid w:val="004E0F35"/>
    <w:rsid w:val="004E154D"/>
    <w:rsid w:val="004E22C8"/>
    <w:rsid w:val="004E25A2"/>
    <w:rsid w:val="004E2833"/>
    <w:rsid w:val="004E3E5D"/>
    <w:rsid w:val="004E402B"/>
    <w:rsid w:val="004E4258"/>
    <w:rsid w:val="004E4897"/>
    <w:rsid w:val="004E52C6"/>
    <w:rsid w:val="004E59DD"/>
    <w:rsid w:val="004E5EA0"/>
    <w:rsid w:val="004E6D7B"/>
    <w:rsid w:val="004E746A"/>
    <w:rsid w:val="004E75A0"/>
    <w:rsid w:val="004E75B2"/>
    <w:rsid w:val="004E7684"/>
    <w:rsid w:val="004F07BB"/>
    <w:rsid w:val="004F1540"/>
    <w:rsid w:val="004F155D"/>
    <w:rsid w:val="004F261A"/>
    <w:rsid w:val="004F2A1B"/>
    <w:rsid w:val="004F2DC6"/>
    <w:rsid w:val="004F4388"/>
    <w:rsid w:val="004F488B"/>
    <w:rsid w:val="004F60E9"/>
    <w:rsid w:val="004F640E"/>
    <w:rsid w:val="004F7346"/>
    <w:rsid w:val="004F7714"/>
    <w:rsid w:val="00500D1E"/>
    <w:rsid w:val="00500F70"/>
    <w:rsid w:val="0050137F"/>
    <w:rsid w:val="00501E5F"/>
    <w:rsid w:val="00502299"/>
    <w:rsid w:val="00502B23"/>
    <w:rsid w:val="00503115"/>
    <w:rsid w:val="005036F0"/>
    <w:rsid w:val="005039A5"/>
    <w:rsid w:val="00503DE8"/>
    <w:rsid w:val="00504A69"/>
    <w:rsid w:val="00506CA1"/>
    <w:rsid w:val="005076D6"/>
    <w:rsid w:val="0051028D"/>
    <w:rsid w:val="00510D80"/>
    <w:rsid w:val="0051123B"/>
    <w:rsid w:val="005115CB"/>
    <w:rsid w:val="00511DDB"/>
    <w:rsid w:val="00511F1D"/>
    <w:rsid w:val="00512A12"/>
    <w:rsid w:val="00512AD0"/>
    <w:rsid w:val="00513442"/>
    <w:rsid w:val="00513BC4"/>
    <w:rsid w:val="005154DD"/>
    <w:rsid w:val="00517264"/>
    <w:rsid w:val="0051746E"/>
    <w:rsid w:val="00517AE8"/>
    <w:rsid w:val="00517B1D"/>
    <w:rsid w:val="00517BBC"/>
    <w:rsid w:val="00517DEB"/>
    <w:rsid w:val="00517ED3"/>
    <w:rsid w:val="005214A5"/>
    <w:rsid w:val="005225F7"/>
    <w:rsid w:val="00523C9A"/>
    <w:rsid w:val="00524E8C"/>
    <w:rsid w:val="00525630"/>
    <w:rsid w:val="00525827"/>
    <w:rsid w:val="00525CFC"/>
    <w:rsid w:val="005279E7"/>
    <w:rsid w:val="005303DB"/>
    <w:rsid w:val="00530765"/>
    <w:rsid w:val="00531752"/>
    <w:rsid w:val="00532677"/>
    <w:rsid w:val="00532EDD"/>
    <w:rsid w:val="005332D8"/>
    <w:rsid w:val="005339CB"/>
    <w:rsid w:val="00533A1A"/>
    <w:rsid w:val="00533E33"/>
    <w:rsid w:val="00534DD6"/>
    <w:rsid w:val="00535398"/>
    <w:rsid w:val="00535A0D"/>
    <w:rsid w:val="00536349"/>
    <w:rsid w:val="0053642E"/>
    <w:rsid w:val="005377CB"/>
    <w:rsid w:val="005401AE"/>
    <w:rsid w:val="00540799"/>
    <w:rsid w:val="0054133D"/>
    <w:rsid w:val="0054228C"/>
    <w:rsid w:val="005425FF"/>
    <w:rsid w:val="00542D9C"/>
    <w:rsid w:val="0054378F"/>
    <w:rsid w:val="00543ABD"/>
    <w:rsid w:val="00545036"/>
    <w:rsid w:val="00545E6C"/>
    <w:rsid w:val="00546084"/>
    <w:rsid w:val="005463DC"/>
    <w:rsid w:val="00547A2C"/>
    <w:rsid w:val="00547DED"/>
    <w:rsid w:val="00547E86"/>
    <w:rsid w:val="005503D9"/>
    <w:rsid w:val="00550896"/>
    <w:rsid w:val="00552A07"/>
    <w:rsid w:val="005550BD"/>
    <w:rsid w:val="00556D8F"/>
    <w:rsid w:val="00557B1E"/>
    <w:rsid w:val="0056072E"/>
    <w:rsid w:val="00561870"/>
    <w:rsid w:val="005630AE"/>
    <w:rsid w:val="00563752"/>
    <w:rsid w:val="00564C9F"/>
    <w:rsid w:val="00565E93"/>
    <w:rsid w:val="0056700A"/>
    <w:rsid w:val="00570270"/>
    <w:rsid w:val="00570952"/>
    <w:rsid w:val="005711CB"/>
    <w:rsid w:val="005717ED"/>
    <w:rsid w:val="005719E3"/>
    <w:rsid w:val="0057242F"/>
    <w:rsid w:val="005726A8"/>
    <w:rsid w:val="00573AF5"/>
    <w:rsid w:val="00573D17"/>
    <w:rsid w:val="005748F7"/>
    <w:rsid w:val="0057519B"/>
    <w:rsid w:val="005760E5"/>
    <w:rsid w:val="00577303"/>
    <w:rsid w:val="00577E16"/>
    <w:rsid w:val="005816AF"/>
    <w:rsid w:val="00581B1E"/>
    <w:rsid w:val="00581D47"/>
    <w:rsid w:val="005820F1"/>
    <w:rsid w:val="00582BC7"/>
    <w:rsid w:val="00583578"/>
    <w:rsid w:val="0058386E"/>
    <w:rsid w:val="00583E66"/>
    <w:rsid w:val="00584A32"/>
    <w:rsid w:val="00584BB7"/>
    <w:rsid w:val="00584DEA"/>
    <w:rsid w:val="00585AE2"/>
    <w:rsid w:val="00586004"/>
    <w:rsid w:val="005870E7"/>
    <w:rsid w:val="005871C5"/>
    <w:rsid w:val="00590760"/>
    <w:rsid w:val="00590A9B"/>
    <w:rsid w:val="00590AE5"/>
    <w:rsid w:val="005938D9"/>
    <w:rsid w:val="00593BB6"/>
    <w:rsid w:val="005947F1"/>
    <w:rsid w:val="00595320"/>
    <w:rsid w:val="005953FD"/>
    <w:rsid w:val="00595E26"/>
    <w:rsid w:val="00595FEA"/>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6AF7"/>
    <w:rsid w:val="005A7293"/>
    <w:rsid w:val="005B0B0E"/>
    <w:rsid w:val="005B3885"/>
    <w:rsid w:val="005B41A4"/>
    <w:rsid w:val="005B7662"/>
    <w:rsid w:val="005B7A88"/>
    <w:rsid w:val="005C0394"/>
    <w:rsid w:val="005C03E7"/>
    <w:rsid w:val="005C05D3"/>
    <w:rsid w:val="005C06EC"/>
    <w:rsid w:val="005C21F8"/>
    <w:rsid w:val="005C2506"/>
    <w:rsid w:val="005C2B65"/>
    <w:rsid w:val="005C3919"/>
    <w:rsid w:val="005C549C"/>
    <w:rsid w:val="005C5906"/>
    <w:rsid w:val="005C5BFE"/>
    <w:rsid w:val="005C612F"/>
    <w:rsid w:val="005C675D"/>
    <w:rsid w:val="005C7623"/>
    <w:rsid w:val="005D0486"/>
    <w:rsid w:val="005D0FDE"/>
    <w:rsid w:val="005D11CA"/>
    <w:rsid w:val="005D146A"/>
    <w:rsid w:val="005D1892"/>
    <w:rsid w:val="005D1AE1"/>
    <w:rsid w:val="005D28A1"/>
    <w:rsid w:val="005D68CA"/>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4BB4"/>
    <w:rsid w:val="005F4C5B"/>
    <w:rsid w:val="005F5553"/>
    <w:rsid w:val="005F5ADD"/>
    <w:rsid w:val="005F5D86"/>
    <w:rsid w:val="005F5E3F"/>
    <w:rsid w:val="005F61A8"/>
    <w:rsid w:val="005F6619"/>
    <w:rsid w:val="005F6654"/>
    <w:rsid w:val="005F6AB7"/>
    <w:rsid w:val="005F6C82"/>
    <w:rsid w:val="005F76F0"/>
    <w:rsid w:val="005F7E1E"/>
    <w:rsid w:val="00600230"/>
    <w:rsid w:val="0060226B"/>
    <w:rsid w:val="00602384"/>
    <w:rsid w:val="00602405"/>
    <w:rsid w:val="00602629"/>
    <w:rsid w:val="0060286B"/>
    <w:rsid w:val="00602BAC"/>
    <w:rsid w:val="006040CF"/>
    <w:rsid w:val="006054F4"/>
    <w:rsid w:val="00605562"/>
    <w:rsid w:val="006056FF"/>
    <w:rsid w:val="00605A30"/>
    <w:rsid w:val="00605AD2"/>
    <w:rsid w:val="006106BC"/>
    <w:rsid w:val="00610A77"/>
    <w:rsid w:val="006110B9"/>
    <w:rsid w:val="00613BFB"/>
    <w:rsid w:val="00613D59"/>
    <w:rsid w:val="00614F87"/>
    <w:rsid w:val="006158D7"/>
    <w:rsid w:val="006163EE"/>
    <w:rsid w:val="00617DE2"/>
    <w:rsid w:val="00617E43"/>
    <w:rsid w:val="0062000A"/>
    <w:rsid w:val="00620F0D"/>
    <w:rsid w:val="00620FF8"/>
    <w:rsid w:val="00621113"/>
    <w:rsid w:val="006216F5"/>
    <w:rsid w:val="006219EE"/>
    <w:rsid w:val="00621D86"/>
    <w:rsid w:val="006220A4"/>
    <w:rsid w:val="00622B24"/>
    <w:rsid w:val="006255FA"/>
    <w:rsid w:val="00625D92"/>
    <w:rsid w:val="0062618D"/>
    <w:rsid w:val="00626CCF"/>
    <w:rsid w:val="00627CDA"/>
    <w:rsid w:val="006304D8"/>
    <w:rsid w:val="00630A00"/>
    <w:rsid w:val="00631D93"/>
    <w:rsid w:val="00631DEF"/>
    <w:rsid w:val="00633016"/>
    <w:rsid w:val="006336D8"/>
    <w:rsid w:val="00633CB5"/>
    <w:rsid w:val="00633D09"/>
    <w:rsid w:val="00634431"/>
    <w:rsid w:val="006346A9"/>
    <w:rsid w:val="00635215"/>
    <w:rsid w:val="00635769"/>
    <w:rsid w:val="00636C2E"/>
    <w:rsid w:val="00637501"/>
    <w:rsid w:val="00640121"/>
    <w:rsid w:val="00640591"/>
    <w:rsid w:val="00641593"/>
    <w:rsid w:val="006415C2"/>
    <w:rsid w:val="006418CD"/>
    <w:rsid w:val="006418E3"/>
    <w:rsid w:val="00641BB1"/>
    <w:rsid w:val="00643234"/>
    <w:rsid w:val="00643A0E"/>
    <w:rsid w:val="00643D69"/>
    <w:rsid w:val="006446B2"/>
    <w:rsid w:val="00645A60"/>
    <w:rsid w:val="006478FA"/>
    <w:rsid w:val="00647DA2"/>
    <w:rsid w:val="006502FF"/>
    <w:rsid w:val="00651F23"/>
    <w:rsid w:val="00651FD6"/>
    <w:rsid w:val="00652BB5"/>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08E"/>
    <w:rsid w:val="0067033C"/>
    <w:rsid w:val="0067137F"/>
    <w:rsid w:val="00673074"/>
    <w:rsid w:val="0067330B"/>
    <w:rsid w:val="006734B3"/>
    <w:rsid w:val="00675F60"/>
    <w:rsid w:val="00676ACD"/>
    <w:rsid w:val="006778A3"/>
    <w:rsid w:val="00677AC8"/>
    <w:rsid w:val="0068060A"/>
    <w:rsid w:val="00680B31"/>
    <w:rsid w:val="00681352"/>
    <w:rsid w:val="006818D9"/>
    <w:rsid w:val="00681DCD"/>
    <w:rsid w:val="00682F16"/>
    <w:rsid w:val="006839C6"/>
    <w:rsid w:val="00684945"/>
    <w:rsid w:val="00684B1D"/>
    <w:rsid w:val="00685C66"/>
    <w:rsid w:val="00686A3D"/>
    <w:rsid w:val="00687333"/>
    <w:rsid w:val="0069060C"/>
    <w:rsid w:val="00690668"/>
    <w:rsid w:val="0069111D"/>
    <w:rsid w:val="00691F9C"/>
    <w:rsid w:val="0069210D"/>
    <w:rsid w:val="00692C18"/>
    <w:rsid w:val="00693CBE"/>
    <w:rsid w:val="00694AD7"/>
    <w:rsid w:val="00695168"/>
    <w:rsid w:val="00695FFE"/>
    <w:rsid w:val="00696B42"/>
    <w:rsid w:val="00696FAA"/>
    <w:rsid w:val="0069759D"/>
    <w:rsid w:val="00697E43"/>
    <w:rsid w:val="006A0EC2"/>
    <w:rsid w:val="006A2277"/>
    <w:rsid w:val="006A2B57"/>
    <w:rsid w:val="006A362E"/>
    <w:rsid w:val="006A41A9"/>
    <w:rsid w:val="006A4AEF"/>
    <w:rsid w:val="006A4EF4"/>
    <w:rsid w:val="006A562D"/>
    <w:rsid w:val="006A594C"/>
    <w:rsid w:val="006A68BF"/>
    <w:rsid w:val="006A69AC"/>
    <w:rsid w:val="006A6B6B"/>
    <w:rsid w:val="006A77DB"/>
    <w:rsid w:val="006A798E"/>
    <w:rsid w:val="006A7D0A"/>
    <w:rsid w:val="006B0BFA"/>
    <w:rsid w:val="006B0E3E"/>
    <w:rsid w:val="006B14B5"/>
    <w:rsid w:val="006B16F7"/>
    <w:rsid w:val="006B179B"/>
    <w:rsid w:val="006B1BCD"/>
    <w:rsid w:val="006B407A"/>
    <w:rsid w:val="006B6657"/>
    <w:rsid w:val="006B6E10"/>
    <w:rsid w:val="006C0245"/>
    <w:rsid w:val="006C0531"/>
    <w:rsid w:val="006C2ADC"/>
    <w:rsid w:val="006C54D6"/>
    <w:rsid w:val="006C5D1A"/>
    <w:rsid w:val="006C66BB"/>
    <w:rsid w:val="006C6D53"/>
    <w:rsid w:val="006C6DD5"/>
    <w:rsid w:val="006C7088"/>
    <w:rsid w:val="006C7E5A"/>
    <w:rsid w:val="006D11E6"/>
    <w:rsid w:val="006D21D0"/>
    <w:rsid w:val="006D2223"/>
    <w:rsid w:val="006D2CB4"/>
    <w:rsid w:val="006D3566"/>
    <w:rsid w:val="006D3760"/>
    <w:rsid w:val="006D38C0"/>
    <w:rsid w:val="006D3E9E"/>
    <w:rsid w:val="006D441B"/>
    <w:rsid w:val="006D7738"/>
    <w:rsid w:val="006D7B31"/>
    <w:rsid w:val="006D7B99"/>
    <w:rsid w:val="006D7FCA"/>
    <w:rsid w:val="006E1B5E"/>
    <w:rsid w:val="006E4E78"/>
    <w:rsid w:val="006E5008"/>
    <w:rsid w:val="006E5A7B"/>
    <w:rsid w:val="006E65C3"/>
    <w:rsid w:val="006E7678"/>
    <w:rsid w:val="006E7829"/>
    <w:rsid w:val="006F0980"/>
    <w:rsid w:val="006F29A5"/>
    <w:rsid w:val="006F42F8"/>
    <w:rsid w:val="006F4701"/>
    <w:rsid w:val="006F4E2B"/>
    <w:rsid w:val="006F5120"/>
    <w:rsid w:val="006F5C19"/>
    <w:rsid w:val="006F5DC5"/>
    <w:rsid w:val="006F7348"/>
    <w:rsid w:val="006F7846"/>
    <w:rsid w:val="00700181"/>
    <w:rsid w:val="007001DF"/>
    <w:rsid w:val="00700982"/>
    <w:rsid w:val="00704176"/>
    <w:rsid w:val="00704595"/>
    <w:rsid w:val="00704E6C"/>
    <w:rsid w:val="00706B9E"/>
    <w:rsid w:val="007073E6"/>
    <w:rsid w:val="00707BA1"/>
    <w:rsid w:val="0071183E"/>
    <w:rsid w:val="00711AE2"/>
    <w:rsid w:val="007122EF"/>
    <w:rsid w:val="00712492"/>
    <w:rsid w:val="007124EF"/>
    <w:rsid w:val="00712A03"/>
    <w:rsid w:val="00712D29"/>
    <w:rsid w:val="00713E0F"/>
    <w:rsid w:val="00715724"/>
    <w:rsid w:val="00715F07"/>
    <w:rsid w:val="007168F9"/>
    <w:rsid w:val="00716BF9"/>
    <w:rsid w:val="007174F5"/>
    <w:rsid w:val="00717759"/>
    <w:rsid w:val="00722418"/>
    <w:rsid w:val="00724C8E"/>
    <w:rsid w:val="00726D70"/>
    <w:rsid w:val="00726FF1"/>
    <w:rsid w:val="00730F6A"/>
    <w:rsid w:val="00731436"/>
    <w:rsid w:val="00731ECA"/>
    <w:rsid w:val="00733235"/>
    <w:rsid w:val="00733A1B"/>
    <w:rsid w:val="007342B7"/>
    <w:rsid w:val="00734F8C"/>
    <w:rsid w:val="00735ABE"/>
    <w:rsid w:val="007367C5"/>
    <w:rsid w:val="00736D5D"/>
    <w:rsid w:val="00737DB7"/>
    <w:rsid w:val="007408AA"/>
    <w:rsid w:val="007409DF"/>
    <w:rsid w:val="00740EF8"/>
    <w:rsid w:val="00741841"/>
    <w:rsid w:val="00742B83"/>
    <w:rsid w:val="0074381D"/>
    <w:rsid w:val="00744239"/>
    <w:rsid w:val="00745B0B"/>
    <w:rsid w:val="00745CC4"/>
    <w:rsid w:val="0074647F"/>
    <w:rsid w:val="00746757"/>
    <w:rsid w:val="0074748D"/>
    <w:rsid w:val="0075055E"/>
    <w:rsid w:val="00751AAC"/>
    <w:rsid w:val="007525A3"/>
    <w:rsid w:val="007544E6"/>
    <w:rsid w:val="0075476E"/>
    <w:rsid w:val="007568DD"/>
    <w:rsid w:val="00756CD2"/>
    <w:rsid w:val="007603E5"/>
    <w:rsid w:val="007603F2"/>
    <w:rsid w:val="00760791"/>
    <w:rsid w:val="00761CD7"/>
    <w:rsid w:val="00762BB8"/>
    <w:rsid w:val="00762C2D"/>
    <w:rsid w:val="007634DA"/>
    <w:rsid w:val="00765BD0"/>
    <w:rsid w:val="007666E3"/>
    <w:rsid w:val="00767257"/>
    <w:rsid w:val="007676E6"/>
    <w:rsid w:val="00767708"/>
    <w:rsid w:val="00767804"/>
    <w:rsid w:val="007707A1"/>
    <w:rsid w:val="0077197B"/>
    <w:rsid w:val="007736B2"/>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0C1C"/>
    <w:rsid w:val="00791306"/>
    <w:rsid w:val="007914DF"/>
    <w:rsid w:val="00795316"/>
    <w:rsid w:val="0079559C"/>
    <w:rsid w:val="00797112"/>
    <w:rsid w:val="007A01FC"/>
    <w:rsid w:val="007A0452"/>
    <w:rsid w:val="007A0AC8"/>
    <w:rsid w:val="007A127C"/>
    <w:rsid w:val="007A15AC"/>
    <w:rsid w:val="007A16BA"/>
    <w:rsid w:val="007A2B06"/>
    <w:rsid w:val="007B2D9B"/>
    <w:rsid w:val="007B3BFA"/>
    <w:rsid w:val="007B3E69"/>
    <w:rsid w:val="007B498B"/>
    <w:rsid w:val="007B5673"/>
    <w:rsid w:val="007B5AD6"/>
    <w:rsid w:val="007B637D"/>
    <w:rsid w:val="007B65CB"/>
    <w:rsid w:val="007B67F6"/>
    <w:rsid w:val="007B6B75"/>
    <w:rsid w:val="007B6B95"/>
    <w:rsid w:val="007B723E"/>
    <w:rsid w:val="007B7573"/>
    <w:rsid w:val="007B7D5F"/>
    <w:rsid w:val="007C03F7"/>
    <w:rsid w:val="007C0CDE"/>
    <w:rsid w:val="007C0F17"/>
    <w:rsid w:val="007C0FA3"/>
    <w:rsid w:val="007C250A"/>
    <w:rsid w:val="007C2823"/>
    <w:rsid w:val="007C2960"/>
    <w:rsid w:val="007C2A75"/>
    <w:rsid w:val="007C2BAA"/>
    <w:rsid w:val="007C2BD3"/>
    <w:rsid w:val="007C41FF"/>
    <w:rsid w:val="007C4327"/>
    <w:rsid w:val="007C4D6E"/>
    <w:rsid w:val="007C506B"/>
    <w:rsid w:val="007C5F37"/>
    <w:rsid w:val="007C6075"/>
    <w:rsid w:val="007C7FD3"/>
    <w:rsid w:val="007D3387"/>
    <w:rsid w:val="007D4C7E"/>
    <w:rsid w:val="007D52A9"/>
    <w:rsid w:val="007D6873"/>
    <w:rsid w:val="007D6954"/>
    <w:rsid w:val="007D7D0D"/>
    <w:rsid w:val="007E1606"/>
    <w:rsid w:val="007E1F07"/>
    <w:rsid w:val="007E2C4C"/>
    <w:rsid w:val="007E419E"/>
    <w:rsid w:val="007E4E02"/>
    <w:rsid w:val="007E5456"/>
    <w:rsid w:val="007E5CBC"/>
    <w:rsid w:val="007E7788"/>
    <w:rsid w:val="007F0010"/>
    <w:rsid w:val="007F0D66"/>
    <w:rsid w:val="007F1D82"/>
    <w:rsid w:val="007F20D3"/>
    <w:rsid w:val="007F2C71"/>
    <w:rsid w:val="007F3BEB"/>
    <w:rsid w:val="007F4251"/>
    <w:rsid w:val="007F47AA"/>
    <w:rsid w:val="007F5173"/>
    <w:rsid w:val="007F6B85"/>
    <w:rsid w:val="007F7900"/>
    <w:rsid w:val="00800026"/>
    <w:rsid w:val="00800FD2"/>
    <w:rsid w:val="00801682"/>
    <w:rsid w:val="0080206D"/>
    <w:rsid w:val="00802787"/>
    <w:rsid w:val="00802AB6"/>
    <w:rsid w:val="00803FD4"/>
    <w:rsid w:val="00804BD1"/>
    <w:rsid w:val="00805C85"/>
    <w:rsid w:val="00806EDB"/>
    <w:rsid w:val="008072CE"/>
    <w:rsid w:val="00810478"/>
    <w:rsid w:val="00810996"/>
    <w:rsid w:val="00811100"/>
    <w:rsid w:val="00811E7B"/>
    <w:rsid w:val="00813EFB"/>
    <w:rsid w:val="00814166"/>
    <w:rsid w:val="0081490F"/>
    <w:rsid w:val="00815437"/>
    <w:rsid w:val="008169A0"/>
    <w:rsid w:val="00817101"/>
    <w:rsid w:val="0081770C"/>
    <w:rsid w:val="00817D69"/>
    <w:rsid w:val="0082027B"/>
    <w:rsid w:val="00820EA4"/>
    <w:rsid w:val="00820F11"/>
    <w:rsid w:val="00823ED9"/>
    <w:rsid w:val="00824864"/>
    <w:rsid w:val="00826C7B"/>
    <w:rsid w:val="00827620"/>
    <w:rsid w:val="008276F1"/>
    <w:rsid w:val="00830577"/>
    <w:rsid w:val="008315C0"/>
    <w:rsid w:val="00833564"/>
    <w:rsid w:val="00834AF7"/>
    <w:rsid w:val="008350CF"/>
    <w:rsid w:val="008354E3"/>
    <w:rsid w:val="00835512"/>
    <w:rsid w:val="00835A2A"/>
    <w:rsid w:val="00836C81"/>
    <w:rsid w:val="008372A4"/>
    <w:rsid w:val="008378E0"/>
    <w:rsid w:val="00841469"/>
    <w:rsid w:val="00841946"/>
    <w:rsid w:val="0084470E"/>
    <w:rsid w:val="0084568F"/>
    <w:rsid w:val="00845DC0"/>
    <w:rsid w:val="00845E67"/>
    <w:rsid w:val="0084662B"/>
    <w:rsid w:val="0085117E"/>
    <w:rsid w:val="00851845"/>
    <w:rsid w:val="00852511"/>
    <w:rsid w:val="00854A61"/>
    <w:rsid w:val="0085715B"/>
    <w:rsid w:val="00857347"/>
    <w:rsid w:val="00857E70"/>
    <w:rsid w:val="008617FB"/>
    <w:rsid w:val="00862837"/>
    <w:rsid w:val="00862D84"/>
    <w:rsid w:val="00862DB2"/>
    <w:rsid w:val="00863E56"/>
    <w:rsid w:val="00863F85"/>
    <w:rsid w:val="00864D8C"/>
    <w:rsid w:val="008652EC"/>
    <w:rsid w:val="008663F6"/>
    <w:rsid w:val="00870BBF"/>
    <w:rsid w:val="00871297"/>
    <w:rsid w:val="008713AD"/>
    <w:rsid w:val="00872B0C"/>
    <w:rsid w:val="00872DEE"/>
    <w:rsid w:val="00874094"/>
    <w:rsid w:val="008746BC"/>
    <w:rsid w:val="0087572A"/>
    <w:rsid w:val="008760C3"/>
    <w:rsid w:val="008766D4"/>
    <w:rsid w:val="0087766E"/>
    <w:rsid w:val="008777B8"/>
    <w:rsid w:val="00877C3D"/>
    <w:rsid w:val="00880793"/>
    <w:rsid w:val="00880A7D"/>
    <w:rsid w:val="008811BB"/>
    <w:rsid w:val="0088155D"/>
    <w:rsid w:val="008817B1"/>
    <w:rsid w:val="008817B5"/>
    <w:rsid w:val="0088213F"/>
    <w:rsid w:val="0088261A"/>
    <w:rsid w:val="00882E5E"/>
    <w:rsid w:val="0088313F"/>
    <w:rsid w:val="008832DA"/>
    <w:rsid w:val="00883723"/>
    <w:rsid w:val="00883B8D"/>
    <w:rsid w:val="00883FCD"/>
    <w:rsid w:val="008841EE"/>
    <w:rsid w:val="008859C4"/>
    <w:rsid w:val="0088796C"/>
    <w:rsid w:val="008912E4"/>
    <w:rsid w:val="0089159C"/>
    <w:rsid w:val="00891BD1"/>
    <w:rsid w:val="00891DD0"/>
    <w:rsid w:val="008924FD"/>
    <w:rsid w:val="0089350C"/>
    <w:rsid w:val="008937AB"/>
    <w:rsid w:val="00894224"/>
    <w:rsid w:val="008943B8"/>
    <w:rsid w:val="00894607"/>
    <w:rsid w:val="00896A85"/>
    <w:rsid w:val="008A0588"/>
    <w:rsid w:val="008A06BF"/>
    <w:rsid w:val="008A2762"/>
    <w:rsid w:val="008A27D3"/>
    <w:rsid w:val="008A29C8"/>
    <w:rsid w:val="008A329F"/>
    <w:rsid w:val="008A35D7"/>
    <w:rsid w:val="008A3D11"/>
    <w:rsid w:val="008A3D45"/>
    <w:rsid w:val="008A3ECE"/>
    <w:rsid w:val="008A5958"/>
    <w:rsid w:val="008A5E00"/>
    <w:rsid w:val="008A6094"/>
    <w:rsid w:val="008A695D"/>
    <w:rsid w:val="008B1338"/>
    <w:rsid w:val="008B2279"/>
    <w:rsid w:val="008B22F1"/>
    <w:rsid w:val="008B2418"/>
    <w:rsid w:val="008B306D"/>
    <w:rsid w:val="008B4424"/>
    <w:rsid w:val="008B54B1"/>
    <w:rsid w:val="008B788C"/>
    <w:rsid w:val="008C027C"/>
    <w:rsid w:val="008C08DE"/>
    <w:rsid w:val="008C098F"/>
    <w:rsid w:val="008C0D61"/>
    <w:rsid w:val="008C0F87"/>
    <w:rsid w:val="008C1281"/>
    <w:rsid w:val="008C21AE"/>
    <w:rsid w:val="008C3C80"/>
    <w:rsid w:val="008C3F62"/>
    <w:rsid w:val="008C5F0D"/>
    <w:rsid w:val="008C5FCE"/>
    <w:rsid w:val="008C6384"/>
    <w:rsid w:val="008C7100"/>
    <w:rsid w:val="008D0531"/>
    <w:rsid w:val="008D1692"/>
    <w:rsid w:val="008D1DF4"/>
    <w:rsid w:val="008D1EBB"/>
    <w:rsid w:val="008D3A05"/>
    <w:rsid w:val="008D3FA2"/>
    <w:rsid w:val="008D44D9"/>
    <w:rsid w:val="008D4692"/>
    <w:rsid w:val="008D60DB"/>
    <w:rsid w:val="008E07B7"/>
    <w:rsid w:val="008E094D"/>
    <w:rsid w:val="008E0EBB"/>
    <w:rsid w:val="008E1896"/>
    <w:rsid w:val="008E2406"/>
    <w:rsid w:val="008E272D"/>
    <w:rsid w:val="008E2C8D"/>
    <w:rsid w:val="008E2EC8"/>
    <w:rsid w:val="008E61A7"/>
    <w:rsid w:val="008E64C9"/>
    <w:rsid w:val="008E674A"/>
    <w:rsid w:val="008E7A51"/>
    <w:rsid w:val="008E7FF6"/>
    <w:rsid w:val="008F0125"/>
    <w:rsid w:val="008F1B2A"/>
    <w:rsid w:val="008F220E"/>
    <w:rsid w:val="008F2E30"/>
    <w:rsid w:val="008F335E"/>
    <w:rsid w:val="008F3E26"/>
    <w:rsid w:val="008F3FD3"/>
    <w:rsid w:val="008F4106"/>
    <w:rsid w:val="008F489E"/>
    <w:rsid w:val="008F4A70"/>
    <w:rsid w:val="008F63C1"/>
    <w:rsid w:val="008F652A"/>
    <w:rsid w:val="008F663C"/>
    <w:rsid w:val="0090004F"/>
    <w:rsid w:val="009000CA"/>
    <w:rsid w:val="00900766"/>
    <w:rsid w:val="00901D43"/>
    <w:rsid w:val="00902B2B"/>
    <w:rsid w:val="009051DB"/>
    <w:rsid w:val="0090540C"/>
    <w:rsid w:val="009068AF"/>
    <w:rsid w:val="0090757F"/>
    <w:rsid w:val="00910C39"/>
    <w:rsid w:val="009111AD"/>
    <w:rsid w:val="00911CB7"/>
    <w:rsid w:val="00912B54"/>
    <w:rsid w:val="00912EAC"/>
    <w:rsid w:val="00913D95"/>
    <w:rsid w:val="009163E9"/>
    <w:rsid w:val="00916988"/>
    <w:rsid w:val="00916BCC"/>
    <w:rsid w:val="009176BE"/>
    <w:rsid w:val="009207C4"/>
    <w:rsid w:val="00920D03"/>
    <w:rsid w:val="009222C8"/>
    <w:rsid w:val="009226FE"/>
    <w:rsid w:val="00923170"/>
    <w:rsid w:val="00924B31"/>
    <w:rsid w:val="009258CF"/>
    <w:rsid w:val="00926561"/>
    <w:rsid w:val="00926769"/>
    <w:rsid w:val="0092760F"/>
    <w:rsid w:val="009308C1"/>
    <w:rsid w:val="00930E5B"/>
    <w:rsid w:val="00931F85"/>
    <w:rsid w:val="009345FF"/>
    <w:rsid w:val="00934760"/>
    <w:rsid w:val="00934F40"/>
    <w:rsid w:val="00935CA6"/>
    <w:rsid w:val="009366B0"/>
    <w:rsid w:val="00936D24"/>
    <w:rsid w:val="00937154"/>
    <w:rsid w:val="009372C3"/>
    <w:rsid w:val="009376BC"/>
    <w:rsid w:val="00937E7B"/>
    <w:rsid w:val="0094018C"/>
    <w:rsid w:val="00940C34"/>
    <w:rsid w:val="00941BC9"/>
    <w:rsid w:val="00941E09"/>
    <w:rsid w:val="00944224"/>
    <w:rsid w:val="00944354"/>
    <w:rsid w:val="00945322"/>
    <w:rsid w:val="0094565E"/>
    <w:rsid w:val="00945AA7"/>
    <w:rsid w:val="009462BA"/>
    <w:rsid w:val="009466C6"/>
    <w:rsid w:val="009466F6"/>
    <w:rsid w:val="009477B7"/>
    <w:rsid w:val="00950030"/>
    <w:rsid w:val="009505AD"/>
    <w:rsid w:val="009505DC"/>
    <w:rsid w:val="00950D40"/>
    <w:rsid w:val="00951A71"/>
    <w:rsid w:val="0095285F"/>
    <w:rsid w:val="00953468"/>
    <w:rsid w:val="00953A46"/>
    <w:rsid w:val="00954D81"/>
    <w:rsid w:val="00955EE4"/>
    <w:rsid w:val="009605EF"/>
    <w:rsid w:val="0096070C"/>
    <w:rsid w:val="0096083D"/>
    <w:rsid w:val="00960C21"/>
    <w:rsid w:val="0096201B"/>
    <w:rsid w:val="00962800"/>
    <w:rsid w:val="00962C3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5412"/>
    <w:rsid w:val="00976112"/>
    <w:rsid w:val="00976117"/>
    <w:rsid w:val="00977A1C"/>
    <w:rsid w:val="009802FC"/>
    <w:rsid w:val="00980935"/>
    <w:rsid w:val="009811B5"/>
    <w:rsid w:val="00981F75"/>
    <w:rsid w:val="00982E14"/>
    <w:rsid w:val="009832B9"/>
    <w:rsid w:val="00983688"/>
    <w:rsid w:val="00983FE1"/>
    <w:rsid w:val="00984B90"/>
    <w:rsid w:val="0098506F"/>
    <w:rsid w:val="009864A8"/>
    <w:rsid w:val="00986898"/>
    <w:rsid w:val="00986D63"/>
    <w:rsid w:val="00987161"/>
    <w:rsid w:val="00987726"/>
    <w:rsid w:val="009912A8"/>
    <w:rsid w:val="00991F9A"/>
    <w:rsid w:val="00992ACA"/>
    <w:rsid w:val="009937A7"/>
    <w:rsid w:val="00994362"/>
    <w:rsid w:val="0099488A"/>
    <w:rsid w:val="00995C04"/>
    <w:rsid w:val="009962BE"/>
    <w:rsid w:val="009962CC"/>
    <w:rsid w:val="00997117"/>
    <w:rsid w:val="0099729C"/>
    <w:rsid w:val="009A0A7F"/>
    <w:rsid w:val="009A0E3C"/>
    <w:rsid w:val="009A2B9B"/>
    <w:rsid w:val="009A2CB3"/>
    <w:rsid w:val="009A3A29"/>
    <w:rsid w:val="009A52CD"/>
    <w:rsid w:val="009A7029"/>
    <w:rsid w:val="009B0794"/>
    <w:rsid w:val="009B0991"/>
    <w:rsid w:val="009B0A81"/>
    <w:rsid w:val="009B0DCA"/>
    <w:rsid w:val="009B21BC"/>
    <w:rsid w:val="009B21EB"/>
    <w:rsid w:val="009B23C5"/>
    <w:rsid w:val="009B27A3"/>
    <w:rsid w:val="009B2C80"/>
    <w:rsid w:val="009B365F"/>
    <w:rsid w:val="009B3F73"/>
    <w:rsid w:val="009B5399"/>
    <w:rsid w:val="009B5713"/>
    <w:rsid w:val="009B654B"/>
    <w:rsid w:val="009B67F5"/>
    <w:rsid w:val="009C003D"/>
    <w:rsid w:val="009C095C"/>
    <w:rsid w:val="009C1038"/>
    <w:rsid w:val="009C1C06"/>
    <w:rsid w:val="009C1C21"/>
    <w:rsid w:val="009C3B52"/>
    <w:rsid w:val="009C406F"/>
    <w:rsid w:val="009C4EDC"/>
    <w:rsid w:val="009C58E5"/>
    <w:rsid w:val="009C6572"/>
    <w:rsid w:val="009C7D0D"/>
    <w:rsid w:val="009D05F7"/>
    <w:rsid w:val="009D1DA3"/>
    <w:rsid w:val="009D1DC6"/>
    <w:rsid w:val="009D1E74"/>
    <w:rsid w:val="009D36F1"/>
    <w:rsid w:val="009D4A31"/>
    <w:rsid w:val="009D5641"/>
    <w:rsid w:val="009D60AE"/>
    <w:rsid w:val="009D7975"/>
    <w:rsid w:val="009D7DE9"/>
    <w:rsid w:val="009E0A9C"/>
    <w:rsid w:val="009E15B0"/>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1AC"/>
    <w:rsid w:val="009F222A"/>
    <w:rsid w:val="009F2598"/>
    <w:rsid w:val="009F2D91"/>
    <w:rsid w:val="009F368C"/>
    <w:rsid w:val="009F39C5"/>
    <w:rsid w:val="009F3C19"/>
    <w:rsid w:val="009F3E73"/>
    <w:rsid w:val="009F4E35"/>
    <w:rsid w:val="009F74CB"/>
    <w:rsid w:val="009F7968"/>
    <w:rsid w:val="00A000F7"/>
    <w:rsid w:val="00A005B1"/>
    <w:rsid w:val="00A01128"/>
    <w:rsid w:val="00A011E8"/>
    <w:rsid w:val="00A0130C"/>
    <w:rsid w:val="00A0209B"/>
    <w:rsid w:val="00A041FE"/>
    <w:rsid w:val="00A0583D"/>
    <w:rsid w:val="00A05DF7"/>
    <w:rsid w:val="00A06786"/>
    <w:rsid w:val="00A07884"/>
    <w:rsid w:val="00A07CCB"/>
    <w:rsid w:val="00A07E22"/>
    <w:rsid w:val="00A10367"/>
    <w:rsid w:val="00A115A5"/>
    <w:rsid w:val="00A11E37"/>
    <w:rsid w:val="00A11EA3"/>
    <w:rsid w:val="00A15003"/>
    <w:rsid w:val="00A151AC"/>
    <w:rsid w:val="00A1530B"/>
    <w:rsid w:val="00A16097"/>
    <w:rsid w:val="00A2078F"/>
    <w:rsid w:val="00A20D1A"/>
    <w:rsid w:val="00A2465E"/>
    <w:rsid w:val="00A2485D"/>
    <w:rsid w:val="00A24C4C"/>
    <w:rsid w:val="00A26646"/>
    <w:rsid w:val="00A26A93"/>
    <w:rsid w:val="00A26B17"/>
    <w:rsid w:val="00A27010"/>
    <w:rsid w:val="00A31034"/>
    <w:rsid w:val="00A31B42"/>
    <w:rsid w:val="00A327EC"/>
    <w:rsid w:val="00A330D8"/>
    <w:rsid w:val="00A331C4"/>
    <w:rsid w:val="00A34DE3"/>
    <w:rsid w:val="00A3528A"/>
    <w:rsid w:val="00A355E8"/>
    <w:rsid w:val="00A35B45"/>
    <w:rsid w:val="00A35EA6"/>
    <w:rsid w:val="00A368B4"/>
    <w:rsid w:val="00A36979"/>
    <w:rsid w:val="00A36CA5"/>
    <w:rsid w:val="00A37E06"/>
    <w:rsid w:val="00A401D0"/>
    <w:rsid w:val="00A408D0"/>
    <w:rsid w:val="00A408D4"/>
    <w:rsid w:val="00A4234F"/>
    <w:rsid w:val="00A4320E"/>
    <w:rsid w:val="00A4618A"/>
    <w:rsid w:val="00A465CE"/>
    <w:rsid w:val="00A4668C"/>
    <w:rsid w:val="00A47F94"/>
    <w:rsid w:val="00A50D8F"/>
    <w:rsid w:val="00A50FFB"/>
    <w:rsid w:val="00A510AB"/>
    <w:rsid w:val="00A5159B"/>
    <w:rsid w:val="00A521DB"/>
    <w:rsid w:val="00A52B8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5FA4"/>
    <w:rsid w:val="00A66F8E"/>
    <w:rsid w:val="00A7127D"/>
    <w:rsid w:val="00A7264B"/>
    <w:rsid w:val="00A72CB8"/>
    <w:rsid w:val="00A72EF2"/>
    <w:rsid w:val="00A734A0"/>
    <w:rsid w:val="00A7395F"/>
    <w:rsid w:val="00A74DE8"/>
    <w:rsid w:val="00A74EA1"/>
    <w:rsid w:val="00A75C44"/>
    <w:rsid w:val="00A77002"/>
    <w:rsid w:val="00A7746B"/>
    <w:rsid w:val="00A80457"/>
    <w:rsid w:val="00A806EE"/>
    <w:rsid w:val="00A80857"/>
    <w:rsid w:val="00A8100E"/>
    <w:rsid w:val="00A820E7"/>
    <w:rsid w:val="00A830A5"/>
    <w:rsid w:val="00A83DF3"/>
    <w:rsid w:val="00A8534A"/>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04E6"/>
    <w:rsid w:val="00AA1787"/>
    <w:rsid w:val="00AA1A55"/>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B68A2"/>
    <w:rsid w:val="00AB6CEC"/>
    <w:rsid w:val="00AC1273"/>
    <w:rsid w:val="00AC1B33"/>
    <w:rsid w:val="00AC1F38"/>
    <w:rsid w:val="00AC2BEA"/>
    <w:rsid w:val="00AC4E29"/>
    <w:rsid w:val="00AC5A7E"/>
    <w:rsid w:val="00AC5BB6"/>
    <w:rsid w:val="00AC5D27"/>
    <w:rsid w:val="00AC5F57"/>
    <w:rsid w:val="00AC6A4B"/>
    <w:rsid w:val="00AD0558"/>
    <w:rsid w:val="00AD12C1"/>
    <w:rsid w:val="00AD33B4"/>
    <w:rsid w:val="00AD34FD"/>
    <w:rsid w:val="00AD40A2"/>
    <w:rsid w:val="00AD4254"/>
    <w:rsid w:val="00AD4AB7"/>
    <w:rsid w:val="00AD636D"/>
    <w:rsid w:val="00AD6781"/>
    <w:rsid w:val="00AD6EA5"/>
    <w:rsid w:val="00AD76F0"/>
    <w:rsid w:val="00AE053D"/>
    <w:rsid w:val="00AE189F"/>
    <w:rsid w:val="00AE1914"/>
    <w:rsid w:val="00AE1EB4"/>
    <w:rsid w:val="00AE24A9"/>
    <w:rsid w:val="00AE2F0A"/>
    <w:rsid w:val="00AE301B"/>
    <w:rsid w:val="00AE3908"/>
    <w:rsid w:val="00AE40FA"/>
    <w:rsid w:val="00AE4183"/>
    <w:rsid w:val="00AE4768"/>
    <w:rsid w:val="00AE4BCE"/>
    <w:rsid w:val="00AE59B0"/>
    <w:rsid w:val="00AE65ED"/>
    <w:rsid w:val="00AE6FA7"/>
    <w:rsid w:val="00AE7134"/>
    <w:rsid w:val="00AE71D4"/>
    <w:rsid w:val="00AE7604"/>
    <w:rsid w:val="00AF0D5C"/>
    <w:rsid w:val="00AF18B9"/>
    <w:rsid w:val="00AF27C1"/>
    <w:rsid w:val="00AF2957"/>
    <w:rsid w:val="00AF3097"/>
    <w:rsid w:val="00AF3AE0"/>
    <w:rsid w:val="00AF469B"/>
    <w:rsid w:val="00AF5782"/>
    <w:rsid w:val="00AF5E90"/>
    <w:rsid w:val="00AF6992"/>
    <w:rsid w:val="00AF6F72"/>
    <w:rsid w:val="00AF70FA"/>
    <w:rsid w:val="00AF763E"/>
    <w:rsid w:val="00B0131B"/>
    <w:rsid w:val="00B04174"/>
    <w:rsid w:val="00B05024"/>
    <w:rsid w:val="00B051BA"/>
    <w:rsid w:val="00B06790"/>
    <w:rsid w:val="00B06F98"/>
    <w:rsid w:val="00B0781D"/>
    <w:rsid w:val="00B07FBE"/>
    <w:rsid w:val="00B129AD"/>
    <w:rsid w:val="00B1506E"/>
    <w:rsid w:val="00B15543"/>
    <w:rsid w:val="00B15DC4"/>
    <w:rsid w:val="00B16337"/>
    <w:rsid w:val="00B16E11"/>
    <w:rsid w:val="00B201B5"/>
    <w:rsid w:val="00B20636"/>
    <w:rsid w:val="00B20CA1"/>
    <w:rsid w:val="00B20DD5"/>
    <w:rsid w:val="00B21BD2"/>
    <w:rsid w:val="00B22160"/>
    <w:rsid w:val="00B2336E"/>
    <w:rsid w:val="00B24C95"/>
    <w:rsid w:val="00B264EC"/>
    <w:rsid w:val="00B27339"/>
    <w:rsid w:val="00B2739E"/>
    <w:rsid w:val="00B27B88"/>
    <w:rsid w:val="00B27DEE"/>
    <w:rsid w:val="00B3152B"/>
    <w:rsid w:val="00B32F56"/>
    <w:rsid w:val="00B3339B"/>
    <w:rsid w:val="00B33790"/>
    <w:rsid w:val="00B33978"/>
    <w:rsid w:val="00B33C03"/>
    <w:rsid w:val="00B33CFB"/>
    <w:rsid w:val="00B33E17"/>
    <w:rsid w:val="00B3457E"/>
    <w:rsid w:val="00B3562A"/>
    <w:rsid w:val="00B36BED"/>
    <w:rsid w:val="00B36F04"/>
    <w:rsid w:val="00B3755C"/>
    <w:rsid w:val="00B40E01"/>
    <w:rsid w:val="00B4124C"/>
    <w:rsid w:val="00B4157D"/>
    <w:rsid w:val="00B41F59"/>
    <w:rsid w:val="00B42455"/>
    <w:rsid w:val="00B42B57"/>
    <w:rsid w:val="00B42FA1"/>
    <w:rsid w:val="00B43670"/>
    <w:rsid w:val="00B43834"/>
    <w:rsid w:val="00B4415B"/>
    <w:rsid w:val="00B44252"/>
    <w:rsid w:val="00B449A7"/>
    <w:rsid w:val="00B45208"/>
    <w:rsid w:val="00B4597A"/>
    <w:rsid w:val="00B50A8E"/>
    <w:rsid w:val="00B51199"/>
    <w:rsid w:val="00B51503"/>
    <w:rsid w:val="00B52E38"/>
    <w:rsid w:val="00B53B74"/>
    <w:rsid w:val="00B54953"/>
    <w:rsid w:val="00B56E53"/>
    <w:rsid w:val="00B57725"/>
    <w:rsid w:val="00B57C10"/>
    <w:rsid w:val="00B609AB"/>
    <w:rsid w:val="00B60D51"/>
    <w:rsid w:val="00B627BF"/>
    <w:rsid w:val="00B63D41"/>
    <w:rsid w:val="00B642C7"/>
    <w:rsid w:val="00B64424"/>
    <w:rsid w:val="00B65DFB"/>
    <w:rsid w:val="00B66982"/>
    <w:rsid w:val="00B66AA3"/>
    <w:rsid w:val="00B66FFC"/>
    <w:rsid w:val="00B6741A"/>
    <w:rsid w:val="00B6752C"/>
    <w:rsid w:val="00B70B0F"/>
    <w:rsid w:val="00B711DB"/>
    <w:rsid w:val="00B71B19"/>
    <w:rsid w:val="00B72F24"/>
    <w:rsid w:val="00B730E9"/>
    <w:rsid w:val="00B73487"/>
    <w:rsid w:val="00B75B8B"/>
    <w:rsid w:val="00B75E02"/>
    <w:rsid w:val="00B760EF"/>
    <w:rsid w:val="00B7630D"/>
    <w:rsid w:val="00B763D5"/>
    <w:rsid w:val="00B76404"/>
    <w:rsid w:val="00B77253"/>
    <w:rsid w:val="00B77AF3"/>
    <w:rsid w:val="00B81625"/>
    <w:rsid w:val="00B81E45"/>
    <w:rsid w:val="00B8472A"/>
    <w:rsid w:val="00B84B6A"/>
    <w:rsid w:val="00B84D29"/>
    <w:rsid w:val="00B85870"/>
    <w:rsid w:val="00B862DA"/>
    <w:rsid w:val="00B8637A"/>
    <w:rsid w:val="00B86618"/>
    <w:rsid w:val="00B868DD"/>
    <w:rsid w:val="00B869D1"/>
    <w:rsid w:val="00B86F03"/>
    <w:rsid w:val="00B913EA"/>
    <w:rsid w:val="00B92483"/>
    <w:rsid w:val="00B933B2"/>
    <w:rsid w:val="00B939AD"/>
    <w:rsid w:val="00B93EFC"/>
    <w:rsid w:val="00B94A75"/>
    <w:rsid w:val="00B95EFC"/>
    <w:rsid w:val="00B95F1B"/>
    <w:rsid w:val="00B97BE7"/>
    <w:rsid w:val="00BA1E69"/>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1416"/>
    <w:rsid w:val="00BC2214"/>
    <w:rsid w:val="00BC38FE"/>
    <w:rsid w:val="00BC71B4"/>
    <w:rsid w:val="00BC7949"/>
    <w:rsid w:val="00BD0683"/>
    <w:rsid w:val="00BD1D4D"/>
    <w:rsid w:val="00BD2830"/>
    <w:rsid w:val="00BD2D8D"/>
    <w:rsid w:val="00BD35BF"/>
    <w:rsid w:val="00BD3A14"/>
    <w:rsid w:val="00BD43A6"/>
    <w:rsid w:val="00BD48A5"/>
    <w:rsid w:val="00BD5D85"/>
    <w:rsid w:val="00BD62A2"/>
    <w:rsid w:val="00BD6E3E"/>
    <w:rsid w:val="00BE022D"/>
    <w:rsid w:val="00BE0312"/>
    <w:rsid w:val="00BE16DB"/>
    <w:rsid w:val="00BE1721"/>
    <w:rsid w:val="00BE25EB"/>
    <w:rsid w:val="00BE2994"/>
    <w:rsid w:val="00BE735C"/>
    <w:rsid w:val="00BF0FE7"/>
    <w:rsid w:val="00BF2A98"/>
    <w:rsid w:val="00BF4B16"/>
    <w:rsid w:val="00BF4DEE"/>
    <w:rsid w:val="00BF6FE9"/>
    <w:rsid w:val="00BF7044"/>
    <w:rsid w:val="00BF73C7"/>
    <w:rsid w:val="00BF742C"/>
    <w:rsid w:val="00C00D9D"/>
    <w:rsid w:val="00C01340"/>
    <w:rsid w:val="00C01BD7"/>
    <w:rsid w:val="00C0226C"/>
    <w:rsid w:val="00C026BE"/>
    <w:rsid w:val="00C032F9"/>
    <w:rsid w:val="00C03BA2"/>
    <w:rsid w:val="00C03C87"/>
    <w:rsid w:val="00C04B1B"/>
    <w:rsid w:val="00C0598A"/>
    <w:rsid w:val="00C06C9C"/>
    <w:rsid w:val="00C104FC"/>
    <w:rsid w:val="00C107B6"/>
    <w:rsid w:val="00C109B6"/>
    <w:rsid w:val="00C11E34"/>
    <w:rsid w:val="00C1255F"/>
    <w:rsid w:val="00C14361"/>
    <w:rsid w:val="00C14C63"/>
    <w:rsid w:val="00C14E18"/>
    <w:rsid w:val="00C15847"/>
    <w:rsid w:val="00C158C6"/>
    <w:rsid w:val="00C15D97"/>
    <w:rsid w:val="00C16743"/>
    <w:rsid w:val="00C17981"/>
    <w:rsid w:val="00C203AE"/>
    <w:rsid w:val="00C22432"/>
    <w:rsid w:val="00C22567"/>
    <w:rsid w:val="00C26477"/>
    <w:rsid w:val="00C267B6"/>
    <w:rsid w:val="00C276B2"/>
    <w:rsid w:val="00C30BD9"/>
    <w:rsid w:val="00C30CDC"/>
    <w:rsid w:val="00C31CA3"/>
    <w:rsid w:val="00C31EB4"/>
    <w:rsid w:val="00C3504A"/>
    <w:rsid w:val="00C3592F"/>
    <w:rsid w:val="00C35A2F"/>
    <w:rsid w:val="00C36445"/>
    <w:rsid w:val="00C36DAC"/>
    <w:rsid w:val="00C37939"/>
    <w:rsid w:val="00C37975"/>
    <w:rsid w:val="00C41A4C"/>
    <w:rsid w:val="00C41DA5"/>
    <w:rsid w:val="00C42DE2"/>
    <w:rsid w:val="00C45891"/>
    <w:rsid w:val="00C45D01"/>
    <w:rsid w:val="00C46312"/>
    <w:rsid w:val="00C468A1"/>
    <w:rsid w:val="00C468CB"/>
    <w:rsid w:val="00C46BF6"/>
    <w:rsid w:val="00C47533"/>
    <w:rsid w:val="00C5050D"/>
    <w:rsid w:val="00C51C39"/>
    <w:rsid w:val="00C52A35"/>
    <w:rsid w:val="00C52E2C"/>
    <w:rsid w:val="00C536CB"/>
    <w:rsid w:val="00C54173"/>
    <w:rsid w:val="00C541F7"/>
    <w:rsid w:val="00C54AED"/>
    <w:rsid w:val="00C54CE8"/>
    <w:rsid w:val="00C55CC6"/>
    <w:rsid w:val="00C560D1"/>
    <w:rsid w:val="00C564BF"/>
    <w:rsid w:val="00C56617"/>
    <w:rsid w:val="00C57295"/>
    <w:rsid w:val="00C6053B"/>
    <w:rsid w:val="00C607E4"/>
    <w:rsid w:val="00C608BB"/>
    <w:rsid w:val="00C60A2D"/>
    <w:rsid w:val="00C610B0"/>
    <w:rsid w:val="00C614C4"/>
    <w:rsid w:val="00C61CA7"/>
    <w:rsid w:val="00C64963"/>
    <w:rsid w:val="00C663F4"/>
    <w:rsid w:val="00C673C6"/>
    <w:rsid w:val="00C70448"/>
    <w:rsid w:val="00C70DFF"/>
    <w:rsid w:val="00C71D54"/>
    <w:rsid w:val="00C72106"/>
    <w:rsid w:val="00C723FF"/>
    <w:rsid w:val="00C7271C"/>
    <w:rsid w:val="00C72747"/>
    <w:rsid w:val="00C72D53"/>
    <w:rsid w:val="00C73CAE"/>
    <w:rsid w:val="00C74451"/>
    <w:rsid w:val="00C75B3A"/>
    <w:rsid w:val="00C75B65"/>
    <w:rsid w:val="00C80705"/>
    <w:rsid w:val="00C807FE"/>
    <w:rsid w:val="00C809E6"/>
    <w:rsid w:val="00C81036"/>
    <w:rsid w:val="00C81572"/>
    <w:rsid w:val="00C81681"/>
    <w:rsid w:val="00C81920"/>
    <w:rsid w:val="00C8253C"/>
    <w:rsid w:val="00C828BC"/>
    <w:rsid w:val="00C82E45"/>
    <w:rsid w:val="00C82F1C"/>
    <w:rsid w:val="00C83171"/>
    <w:rsid w:val="00C83E07"/>
    <w:rsid w:val="00C84FC9"/>
    <w:rsid w:val="00C8517B"/>
    <w:rsid w:val="00C85393"/>
    <w:rsid w:val="00C86830"/>
    <w:rsid w:val="00C86E91"/>
    <w:rsid w:val="00C86F37"/>
    <w:rsid w:val="00C873E7"/>
    <w:rsid w:val="00C9004F"/>
    <w:rsid w:val="00C905D5"/>
    <w:rsid w:val="00C910F9"/>
    <w:rsid w:val="00C91890"/>
    <w:rsid w:val="00C91AEC"/>
    <w:rsid w:val="00C91C3D"/>
    <w:rsid w:val="00C929CC"/>
    <w:rsid w:val="00C9331A"/>
    <w:rsid w:val="00C95019"/>
    <w:rsid w:val="00C95476"/>
    <w:rsid w:val="00C96434"/>
    <w:rsid w:val="00C96C70"/>
    <w:rsid w:val="00C97998"/>
    <w:rsid w:val="00C97A6C"/>
    <w:rsid w:val="00C97F0D"/>
    <w:rsid w:val="00CA272C"/>
    <w:rsid w:val="00CA3104"/>
    <w:rsid w:val="00CA37DB"/>
    <w:rsid w:val="00CA5606"/>
    <w:rsid w:val="00CA57D9"/>
    <w:rsid w:val="00CA7034"/>
    <w:rsid w:val="00CA74A2"/>
    <w:rsid w:val="00CB1720"/>
    <w:rsid w:val="00CB2BE1"/>
    <w:rsid w:val="00CB2F7C"/>
    <w:rsid w:val="00CB3754"/>
    <w:rsid w:val="00CB3F19"/>
    <w:rsid w:val="00CB47BE"/>
    <w:rsid w:val="00CB4C6E"/>
    <w:rsid w:val="00CB5187"/>
    <w:rsid w:val="00CB559E"/>
    <w:rsid w:val="00CB5C97"/>
    <w:rsid w:val="00CB62B8"/>
    <w:rsid w:val="00CB706C"/>
    <w:rsid w:val="00CB7A54"/>
    <w:rsid w:val="00CB7D50"/>
    <w:rsid w:val="00CC0CF4"/>
    <w:rsid w:val="00CC2180"/>
    <w:rsid w:val="00CC38E8"/>
    <w:rsid w:val="00CC6324"/>
    <w:rsid w:val="00CD0819"/>
    <w:rsid w:val="00CD0CB3"/>
    <w:rsid w:val="00CD0F18"/>
    <w:rsid w:val="00CD1CA9"/>
    <w:rsid w:val="00CD2652"/>
    <w:rsid w:val="00CD2876"/>
    <w:rsid w:val="00CD2E64"/>
    <w:rsid w:val="00CD38F1"/>
    <w:rsid w:val="00CD41C9"/>
    <w:rsid w:val="00CE144E"/>
    <w:rsid w:val="00CE1ED5"/>
    <w:rsid w:val="00CE21A9"/>
    <w:rsid w:val="00CE24A8"/>
    <w:rsid w:val="00CE3AEC"/>
    <w:rsid w:val="00CE3BE3"/>
    <w:rsid w:val="00CE6831"/>
    <w:rsid w:val="00CE74CD"/>
    <w:rsid w:val="00CF1716"/>
    <w:rsid w:val="00CF1C05"/>
    <w:rsid w:val="00CF1FFD"/>
    <w:rsid w:val="00CF23D8"/>
    <w:rsid w:val="00CF25BB"/>
    <w:rsid w:val="00CF4C72"/>
    <w:rsid w:val="00CF5325"/>
    <w:rsid w:val="00CF53E3"/>
    <w:rsid w:val="00CF7482"/>
    <w:rsid w:val="00CF7502"/>
    <w:rsid w:val="00CF76AF"/>
    <w:rsid w:val="00CF7AB0"/>
    <w:rsid w:val="00CF7FC9"/>
    <w:rsid w:val="00D007C2"/>
    <w:rsid w:val="00D00843"/>
    <w:rsid w:val="00D0087C"/>
    <w:rsid w:val="00D0221B"/>
    <w:rsid w:val="00D0226D"/>
    <w:rsid w:val="00D02468"/>
    <w:rsid w:val="00D02C04"/>
    <w:rsid w:val="00D02C81"/>
    <w:rsid w:val="00D042A9"/>
    <w:rsid w:val="00D05C53"/>
    <w:rsid w:val="00D069FB"/>
    <w:rsid w:val="00D06F0F"/>
    <w:rsid w:val="00D1094C"/>
    <w:rsid w:val="00D10AA7"/>
    <w:rsid w:val="00D11310"/>
    <w:rsid w:val="00D11D3A"/>
    <w:rsid w:val="00D1211E"/>
    <w:rsid w:val="00D13E38"/>
    <w:rsid w:val="00D13F5C"/>
    <w:rsid w:val="00D13F81"/>
    <w:rsid w:val="00D15522"/>
    <w:rsid w:val="00D1590B"/>
    <w:rsid w:val="00D16B01"/>
    <w:rsid w:val="00D20CFF"/>
    <w:rsid w:val="00D20FFF"/>
    <w:rsid w:val="00D21E13"/>
    <w:rsid w:val="00D220E9"/>
    <w:rsid w:val="00D221D6"/>
    <w:rsid w:val="00D22D6E"/>
    <w:rsid w:val="00D2312C"/>
    <w:rsid w:val="00D2335A"/>
    <w:rsid w:val="00D25682"/>
    <w:rsid w:val="00D25687"/>
    <w:rsid w:val="00D263B2"/>
    <w:rsid w:val="00D26C04"/>
    <w:rsid w:val="00D27B96"/>
    <w:rsid w:val="00D30F9F"/>
    <w:rsid w:val="00D31C12"/>
    <w:rsid w:val="00D32784"/>
    <w:rsid w:val="00D32BD1"/>
    <w:rsid w:val="00D33987"/>
    <w:rsid w:val="00D34A15"/>
    <w:rsid w:val="00D350BC"/>
    <w:rsid w:val="00D35938"/>
    <w:rsid w:val="00D35D5B"/>
    <w:rsid w:val="00D36B5E"/>
    <w:rsid w:val="00D36D40"/>
    <w:rsid w:val="00D371F6"/>
    <w:rsid w:val="00D373E1"/>
    <w:rsid w:val="00D4171E"/>
    <w:rsid w:val="00D42988"/>
    <w:rsid w:val="00D42AA7"/>
    <w:rsid w:val="00D42B48"/>
    <w:rsid w:val="00D43922"/>
    <w:rsid w:val="00D43CFC"/>
    <w:rsid w:val="00D43E04"/>
    <w:rsid w:val="00D442E9"/>
    <w:rsid w:val="00D4434E"/>
    <w:rsid w:val="00D45B9C"/>
    <w:rsid w:val="00D45DE0"/>
    <w:rsid w:val="00D47128"/>
    <w:rsid w:val="00D4756B"/>
    <w:rsid w:val="00D47798"/>
    <w:rsid w:val="00D50E53"/>
    <w:rsid w:val="00D51795"/>
    <w:rsid w:val="00D52AE3"/>
    <w:rsid w:val="00D5322E"/>
    <w:rsid w:val="00D53A2D"/>
    <w:rsid w:val="00D54533"/>
    <w:rsid w:val="00D54907"/>
    <w:rsid w:val="00D5562F"/>
    <w:rsid w:val="00D55A32"/>
    <w:rsid w:val="00D5628D"/>
    <w:rsid w:val="00D573EC"/>
    <w:rsid w:val="00D602A9"/>
    <w:rsid w:val="00D60BC0"/>
    <w:rsid w:val="00D60F7D"/>
    <w:rsid w:val="00D61F54"/>
    <w:rsid w:val="00D627F7"/>
    <w:rsid w:val="00D637A0"/>
    <w:rsid w:val="00D6630C"/>
    <w:rsid w:val="00D674CC"/>
    <w:rsid w:val="00D675A6"/>
    <w:rsid w:val="00D675B0"/>
    <w:rsid w:val="00D678F4"/>
    <w:rsid w:val="00D70688"/>
    <w:rsid w:val="00D70E54"/>
    <w:rsid w:val="00D73627"/>
    <w:rsid w:val="00D73C5A"/>
    <w:rsid w:val="00D73DD5"/>
    <w:rsid w:val="00D74493"/>
    <w:rsid w:val="00D747EA"/>
    <w:rsid w:val="00D7538D"/>
    <w:rsid w:val="00D753D5"/>
    <w:rsid w:val="00D75F60"/>
    <w:rsid w:val="00D76341"/>
    <w:rsid w:val="00D76BE7"/>
    <w:rsid w:val="00D807C2"/>
    <w:rsid w:val="00D80CF9"/>
    <w:rsid w:val="00D82205"/>
    <w:rsid w:val="00D8504C"/>
    <w:rsid w:val="00D85330"/>
    <w:rsid w:val="00D86746"/>
    <w:rsid w:val="00D87B78"/>
    <w:rsid w:val="00D87EB8"/>
    <w:rsid w:val="00D90A8F"/>
    <w:rsid w:val="00D90DAE"/>
    <w:rsid w:val="00D914F9"/>
    <w:rsid w:val="00D918AD"/>
    <w:rsid w:val="00D91A9D"/>
    <w:rsid w:val="00D92C57"/>
    <w:rsid w:val="00D93451"/>
    <w:rsid w:val="00D93D52"/>
    <w:rsid w:val="00D93F85"/>
    <w:rsid w:val="00D94586"/>
    <w:rsid w:val="00D94EAD"/>
    <w:rsid w:val="00D95ABE"/>
    <w:rsid w:val="00D95BFE"/>
    <w:rsid w:val="00D95ED7"/>
    <w:rsid w:val="00D96368"/>
    <w:rsid w:val="00D96C19"/>
    <w:rsid w:val="00D972CE"/>
    <w:rsid w:val="00D97654"/>
    <w:rsid w:val="00DA1744"/>
    <w:rsid w:val="00DA18F9"/>
    <w:rsid w:val="00DA1BB1"/>
    <w:rsid w:val="00DA1DF0"/>
    <w:rsid w:val="00DA21B8"/>
    <w:rsid w:val="00DA5A84"/>
    <w:rsid w:val="00DA7F65"/>
    <w:rsid w:val="00DB0CA4"/>
    <w:rsid w:val="00DB36D0"/>
    <w:rsid w:val="00DB3783"/>
    <w:rsid w:val="00DB3D7A"/>
    <w:rsid w:val="00DB3E06"/>
    <w:rsid w:val="00DB42A4"/>
    <w:rsid w:val="00DB58CE"/>
    <w:rsid w:val="00DB5B26"/>
    <w:rsid w:val="00DB5B8B"/>
    <w:rsid w:val="00DB5BBC"/>
    <w:rsid w:val="00DB6E23"/>
    <w:rsid w:val="00DB7AED"/>
    <w:rsid w:val="00DC1918"/>
    <w:rsid w:val="00DC242C"/>
    <w:rsid w:val="00DC4CEE"/>
    <w:rsid w:val="00DC527B"/>
    <w:rsid w:val="00DC73C1"/>
    <w:rsid w:val="00DC7516"/>
    <w:rsid w:val="00DD03C4"/>
    <w:rsid w:val="00DD03CA"/>
    <w:rsid w:val="00DD0EDF"/>
    <w:rsid w:val="00DD1657"/>
    <w:rsid w:val="00DD2D25"/>
    <w:rsid w:val="00DD3287"/>
    <w:rsid w:val="00DD3A1D"/>
    <w:rsid w:val="00DD52FF"/>
    <w:rsid w:val="00DD6307"/>
    <w:rsid w:val="00DD6376"/>
    <w:rsid w:val="00DD6D70"/>
    <w:rsid w:val="00DE0661"/>
    <w:rsid w:val="00DE1AB6"/>
    <w:rsid w:val="00DE1DAB"/>
    <w:rsid w:val="00DE1F8B"/>
    <w:rsid w:val="00DE24D5"/>
    <w:rsid w:val="00DE31E2"/>
    <w:rsid w:val="00DE354C"/>
    <w:rsid w:val="00DE401E"/>
    <w:rsid w:val="00DE4BDA"/>
    <w:rsid w:val="00DE5E9F"/>
    <w:rsid w:val="00DE70F8"/>
    <w:rsid w:val="00DE7444"/>
    <w:rsid w:val="00DE78A7"/>
    <w:rsid w:val="00DE79F3"/>
    <w:rsid w:val="00DF071E"/>
    <w:rsid w:val="00DF0A63"/>
    <w:rsid w:val="00DF0C62"/>
    <w:rsid w:val="00DF1251"/>
    <w:rsid w:val="00DF15DF"/>
    <w:rsid w:val="00DF18AA"/>
    <w:rsid w:val="00DF1CF0"/>
    <w:rsid w:val="00DF1FD4"/>
    <w:rsid w:val="00DF2820"/>
    <w:rsid w:val="00DF2827"/>
    <w:rsid w:val="00DF3429"/>
    <w:rsid w:val="00DF3578"/>
    <w:rsid w:val="00DF49B3"/>
    <w:rsid w:val="00DF5414"/>
    <w:rsid w:val="00DF57F1"/>
    <w:rsid w:val="00DF6FBF"/>
    <w:rsid w:val="00DF7FCA"/>
    <w:rsid w:val="00E01B0B"/>
    <w:rsid w:val="00E025A5"/>
    <w:rsid w:val="00E046BE"/>
    <w:rsid w:val="00E06877"/>
    <w:rsid w:val="00E0796C"/>
    <w:rsid w:val="00E07C72"/>
    <w:rsid w:val="00E10455"/>
    <w:rsid w:val="00E106A0"/>
    <w:rsid w:val="00E11D96"/>
    <w:rsid w:val="00E129EC"/>
    <w:rsid w:val="00E12B89"/>
    <w:rsid w:val="00E13910"/>
    <w:rsid w:val="00E13B4E"/>
    <w:rsid w:val="00E13B6E"/>
    <w:rsid w:val="00E1592F"/>
    <w:rsid w:val="00E1593D"/>
    <w:rsid w:val="00E15A30"/>
    <w:rsid w:val="00E175D1"/>
    <w:rsid w:val="00E17856"/>
    <w:rsid w:val="00E204DB"/>
    <w:rsid w:val="00E20C97"/>
    <w:rsid w:val="00E2315F"/>
    <w:rsid w:val="00E24314"/>
    <w:rsid w:val="00E24CED"/>
    <w:rsid w:val="00E25BFA"/>
    <w:rsid w:val="00E26FFD"/>
    <w:rsid w:val="00E27B49"/>
    <w:rsid w:val="00E27CA2"/>
    <w:rsid w:val="00E30DE4"/>
    <w:rsid w:val="00E314E2"/>
    <w:rsid w:val="00E33D91"/>
    <w:rsid w:val="00E34779"/>
    <w:rsid w:val="00E34892"/>
    <w:rsid w:val="00E34B32"/>
    <w:rsid w:val="00E354C9"/>
    <w:rsid w:val="00E35604"/>
    <w:rsid w:val="00E358B0"/>
    <w:rsid w:val="00E35965"/>
    <w:rsid w:val="00E36D60"/>
    <w:rsid w:val="00E377D3"/>
    <w:rsid w:val="00E37AE0"/>
    <w:rsid w:val="00E400DE"/>
    <w:rsid w:val="00E40511"/>
    <w:rsid w:val="00E407E5"/>
    <w:rsid w:val="00E41279"/>
    <w:rsid w:val="00E422A6"/>
    <w:rsid w:val="00E42473"/>
    <w:rsid w:val="00E43602"/>
    <w:rsid w:val="00E43A5F"/>
    <w:rsid w:val="00E4458D"/>
    <w:rsid w:val="00E46001"/>
    <w:rsid w:val="00E501E9"/>
    <w:rsid w:val="00E51B22"/>
    <w:rsid w:val="00E54155"/>
    <w:rsid w:val="00E543A5"/>
    <w:rsid w:val="00E54979"/>
    <w:rsid w:val="00E54ABA"/>
    <w:rsid w:val="00E560E4"/>
    <w:rsid w:val="00E60AB0"/>
    <w:rsid w:val="00E6241B"/>
    <w:rsid w:val="00E62EA3"/>
    <w:rsid w:val="00E643EC"/>
    <w:rsid w:val="00E64785"/>
    <w:rsid w:val="00E64E2F"/>
    <w:rsid w:val="00E653D2"/>
    <w:rsid w:val="00E659A3"/>
    <w:rsid w:val="00E6638B"/>
    <w:rsid w:val="00E668D6"/>
    <w:rsid w:val="00E67C0E"/>
    <w:rsid w:val="00E704DA"/>
    <w:rsid w:val="00E70D17"/>
    <w:rsid w:val="00E70E3D"/>
    <w:rsid w:val="00E722CA"/>
    <w:rsid w:val="00E73DFD"/>
    <w:rsid w:val="00E75200"/>
    <w:rsid w:val="00E75F4E"/>
    <w:rsid w:val="00E7629E"/>
    <w:rsid w:val="00E76D7A"/>
    <w:rsid w:val="00E77AC0"/>
    <w:rsid w:val="00E77D5F"/>
    <w:rsid w:val="00E800DA"/>
    <w:rsid w:val="00E804E8"/>
    <w:rsid w:val="00E80856"/>
    <w:rsid w:val="00E80AA0"/>
    <w:rsid w:val="00E8203F"/>
    <w:rsid w:val="00E82426"/>
    <w:rsid w:val="00E82E13"/>
    <w:rsid w:val="00E833C9"/>
    <w:rsid w:val="00E84647"/>
    <w:rsid w:val="00E84715"/>
    <w:rsid w:val="00E86F38"/>
    <w:rsid w:val="00E918AC"/>
    <w:rsid w:val="00E96712"/>
    <w:rsid w:val="00E96724"/>
    <w:rsid w:val="00E969FE"/>
    <w:rsid w:val="00E96C79"/>
    <w:rsid w:val="00EA0007"/>
    <w:rsid w:val="00EA0C1B"/>
    <w:rsid w:val="00EA0D60"/>
    <w:rsid w:val="00EA3818"/>
    <w:rsid w:val="00EA4093"/>
    <w:rsid w:val="00EA49EE"/>
    <w:rsid w:val="00EA5071"/>
    <w:rsid w:val="00EA7537"/>
    <w:rsid w:val="00EB00C3"/>
    <w:rsid w:val="00EB07A8"/>
    <w:rsid w:val="00EB4215"/>
    <w:rsid w:val="00EB4F7B"/>
    <w:rsid w:val="00EB652F"/>
    <w:rsid w:val="00EB66E9"/>
    <w:rsid w:val="00EB707D"/>
    <w:rsid w:val="00EB734B"/>
    <w:rsid w:val="00EC0666"/>
    <w:rsid w:val="00EC0EF0"/>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1F0"/>
    <w:rsid w:val="00ED4610"/>
    <w:rsid w:val="00ED483D"/>
    <w:rsid w:val="00ED70CE"/>
    <w:rsid w:val="00ED782C"/>
    <w:rsid w:val="00ED788A"/>
    <w:rsid w:val="00ED7E9F"/>
    <w:rsid w:val="00EE08C7"/>
    <w:rsid w:val="00EE0B8D"/>
    <w:rsid w:val="00EE102F"/>
    <w:rsid w:val="00EE1B1A"/>
    <w:rsid w:val="00EE521E"/>
    <w:rsid w:val="00EE5E06"/>
    <w:rsid w:val="00EE7BC6"/>
    <w:rsid w:val="00EF201A"/>
    <w:rsid w:val="00EF29B2"/>
    <w:rsid w:val="00EF2BEC"/>
    <w:rsid w:val="00EF3187"/>
    <w:rsid w:val="00EF3436"/>
    <w:rsid w:val="00EF369E"/>
    <w:rsid w:val="00EF3E7A"/>
    <w:rsid w:val="00EF53C6"/>
    <w:rsid w:val="00EF6A72"/>
    <w:rsid w:val="00EF6D7F"/>
    <w:rsid w:val="00EF6E5C"/>
    <w:rsid w:val="00EF724F"/>
    <w:rsid w:val="00EF7339"/>
    <w:rsid w:val="00F0092E"/>
    <w:rsid w:val="00F0131B"/>
    <w:rsid w:val="00F0163C"/>
    <w:rsid w:val="00F01921"/>
    <w:rsid w:val="00F02AD3"/>
    <w:rsid w:val="00F03625"/>
    <w:rsid w:val="00F040CB"/>
    <w:rsid w:val="00F04247"/>
    <w:rsid w:val="00F044CD"/>
    <w:rsid w:val="00F0494A"/>
    <w:rsid w:val="00F04ABA"/>
    <w:rsid w:val="00F05493"/>
    <w:rsid w:val="00F06512"/>
    <w:rsid w:val="00F0699B"/>
    <w:rsid w:val="00F07E3B"/>
    <w:rsid w:val="00F117BE"/>
    <w:rsid w:val="00F127F9"/>
    <w:rsid w:val="00F14E1A"/>
    <w:rsid w:val="00F1514F"/>
    <w:rsid w:val="00F163EB"/>
    <w:rsid w:val="00F176BE"/>
    <w:rsid w:val="00F211C6"/>
    <w:rsid w:val="00F2170F"/>
    <w:rsid w:val="00F21946"/>
    <w:rsid w:val="00F2226A"/>
    <w:rsid w:val="00F22B9B"/>
    <w:rsid w:val="00F237AE"/>
    <w:rsid w:val="00F24135"/>
    <w:rsid w:val="00F25B3B"/>
    <w:rsid w:val="00F25B86"/>
    <w:rsid w:val="00F26187"/>
    <w:rsid w:val="00F26581"/>
    <w:rsid w:val="00F26DBC"/>
    <w:rsid w:val="00F26F5C"/>
    <w:rsid w:val="00F27D03"/>
    <w:rsid w:val="00F3075D"/>
    <w:rsid w:val="00F308E4"/>
    <w:rsid w:val="00F3152B"/>
    <w:rsid w:val="00F31E15"/>
    <w:rsid w:val="00F32348"/>
    <w:rsid w:val="00F3457D"/>
    <w:rsid w:val="00F3514D"/>
    <w:rsid w:val="00F35A19"/>
    <w:rsid w:val="00F40CA1"/>
    <w:rsid w:val="00F42364"/>
    <w:rsid w:val="00F425D4"/>
    <w:rsid w:val="00F44610"/>
    <w:rsid w:val="00F451E9"/>
    <w:rsid w:val="00F4559C"/>
    <w:rsid w:val="00F45F1B"/>
    <w:rsid w:val="00F4722D"/>
    <w:rsid w:val="00F4769C"/>
    <w:rsid w:val="00F50F6B"/>
    <w:rsid w:val="00F523E9"/>
    <w:rsid w:val="00F52909"/>
    <w:rsid w:val="00F52F5C"/>
    <w:rsid w:val="00F53452"/>
    <w:rsid w:val="00F54B09"/>
    <w:rsid w:val="00F551CF"/>
    <w:rsid w:val="00F55AFD"/>
    <w:rsid w:val="00F60583"/>
    <w:rsid w:val="00F60DAE"/>
    <w:rsid w:val="00F6490B"/>
    <w:rsid w:val="00F6538B"/>
    <w:rsid w:val="00F65BA6"/>
    <w:rsid w:val="00F6759D"/>
    <w:rsid w:val="00F67C4F"/>
    <w:rsid w:val="00F7148F"/>
    <w:rsid w:val="00F72B5D"/>
    <w:rsid w:val="00F73673"/>
    <w:rsid w:val="00F737FC"/>
    <w:rsid w:val="00F77CA0"/>
    <w:rsid w:val="00F800E1"/>
    <w:rsid w:val="00F806B5"/>
    <w:rsid w:val="00F80777"/>
    <w:rsid w:val="00F80F0D"/>
    <w:rsid w:val="00F81176"/>
    <w:rsid w:val="00F81EDB"/>
    <w:rsid w:val="00F82181"/>
    <w:rsid w:val="00F821A6"/>
    <w:rsid w:val="00F83F84"/>
    <w:rsid w:val="00F8454D"/>
    <w:rsid w:val="00F84FB6"/>
    <w:rsid w:val="00F8603C"/>
    <w:rsid w:val="00F8692C"/>
    <w:rsid w:val="00F86CC6"/>
    <w:rsid w:val="00F86D34"/>
    <w:rsid w:val="00F8731C"/>
    <w:rsid w:val="00F90555"/>
    <w:rsid w:val="00F90BC0"/>
    <w:rsid w:val="00F91511"/>
    <w:rsid w:val="00F917A0"/>
    <w:rsid w:val="00F92EE7"/>
    <w:rsid w:val="00F93125"/>
    <w:rsid w:val="00F947D9"/>
    <w:rsid w:val="00F94A74"/>
    <w:rsid w:val="00F94C2B"/>
    <w:rsid w:val="00F95569"/>
    <w:rsid w:val="00F95B45"/>
    <w:rsid w:val="00F95B96"/>
    <w:rsid w:val="00F971CC"/>
    <w:rsid w:val="00F97840"/>
    <w:rsid w:val="00FA029C"/>
    <w:rsid w:val="00FA0E11"/>
    <w:rsid w:val="00FA18D3"/>
    <w:rsid w:val="00FA2712"/>
    <w:rsid w:val="00FA297B"/>
    <w:rsid w:val="00FA310E"/>
    <w:rsid w:val="00FA3A3B"/>
    <w:rsid w:val="00FA3FB8"/>
    <w:rsid w:val="00FA405E"/>
    <w:rsid w:val="00FA41AE"/>
    <w:rsid w:val="00FA444E"/>
    <w:rsid w:val="00FA4BC8"/>
    <w:rsid w:val="00FA7E98"/>
    <w:rsid w:val="00FB000F"/>
    <w:rsid w:val="00FB037E"/>
    <w:rsid w:val="00FB1686"/>
    <w:rsid w:val="00FB264B"/>
    <w:rsid w:val="00FB300C"/>
    <w:rsid w:val="00FB5415"/>
    <w:rsid w:val="00FB5512"/>
    <w:rsid w:val="00FB6C42"/>
    <w:rsid w:val="00FB7556"/>
    <w:rsid w:val="00FC01F0"/>
    <w:rsid w:val="00FC0412"/>
    <w:rsid w:val="00FC1124"/>
    <w:rsid w:val="00FC1B5B"/>
    <w:rsid w:val="00FC1D64"/>
    <w:rsid w:val="00FC1F62"/>
    <w:rsid w:val="00FC32ED"/>
    <w:rsid w:val="00FC4FEB"/>
    <w:rsid w:val="00FC5249"/>
    <w:rsid w:val="00FC5AC7"/>
    <w:rsid w:val="00FC66E8"/>
    <w:rsid w:val="00FC73D6"/>
    <w:rsid w:val="00FC74B7"/>
    <w:rsid w:val="00FD16BA"/>
    <w:rsid w:val="00FD34C8"/>
    <w:rsid w:val="00FD46E1"/>
    <w:rsid w:val="00FD4ACF"/>
    <w:rsid w:val="00FD5104"/>
    <w:rsid w:val="00FD5579"/>
    <w:rsid w:val="00FD57A6"/>
    <w:rsid w:val="00FD6931"/>
    <w:rsid w:val="00FD6FDD"/>
    <w:rsid w:val="00FD71D7"/>
    <w:rsid w:val="00FD7AA3"/>
    <w:rsid w:val="00FE0D3F"/>
    <w:rsid w:val="00FE1056"/>
    <w:rsid w:val="00FE1786"/>
    <w:rsid w:val="00FE4404"/>
    <w:rsid w:val="00FE531C"/>
    <w:rsid w:val="00FE53C5"/>
    <w:rsid w:val="00FE58FA"/>
    <w:rsid w:val="00FE6428"/>
    <w:rsid w:val="00FE6C69"/>
    <w:rsid w:val="00FE728C"/>
    <w:rsid w:val="00FE78AA"/>
    <w:rsid w:val="00FE78EA"/>
    <w:rsid w:val="00FF1845"/>
    <w:rsid w:val="00FF1A26"/>
    <w:rsid w:val="00FF1C0F"/>
    <w:rsid w:val="00FF3066"/>
    <w:rsid w:val="00FF4479"/>
    <w:rsid w:val="00FF4DD9"/>
    <w:rsid w:val="00FF50CB"/>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F26581"/>
    <w:pPr>
      <w:keepNext/>
      <w:keepLines/>
      <w:pageBreakBefore/>
      <w:numPr>
        <w:numId w:val="30"/>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uiPriority w:val="99"/>
    <w:qFormat/>
    <w:rsid w:val="00F26581"/>
    <w:pPr>
      <w:keepNext/>
      <w:keepLines/>
      <w:pageBreakBefore/>
      <w:numPr>
        <w:ilvl w:val="1"/>
        <w:numId w:val="30"/>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uiPriority w:val="99"/>
    <w:qFormat/>
    <w:rsid w:val="00F26581"/>
    <w:pPr>
      <w:keepNext/>
      <w:keepLines/>
      <w:pageBreakBefore/>
      <w:numPr>
        <w:ilvl w:val="2"/>
        <w:numId w:val="30"/>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uiPriority w:val="99"/>
    <w:qFormat/>
    <w:rsid w:val="000F40BD"/>
    <w:pPr>
      <w:keepNext/>
      <w:keepLines/>
      <w:numPr>
        <w:ilvl w:val="3"/>
        <w:numId w:val="30"/>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30"/>
      </w:numPr>
      <w:spacing w:before="200"/>
      <w:outlineLvl w:val="4"/>
    </w:pPr>
    <w:rPr>
      <w:color w:val="990000"/>
      <w:sz w:val="20"/>
    </w:rPr>
  </w:style>
  <w:style w:type="paragraph" w:styleId="Heading6">
    <w:name w:val="heading 6"/>
    <w:basedOn w:val="Normal"/>
    <w:next w:val="Normal"/>
    <w:link w:val="Heading6Char"/>
    <w:uiPriority w:val="99"/>
    <w:qFormat/>
    <w:rsid w:val="00882E5E"/>
    <w:pPr>
      <w:keepNext/>
      <w:keepLines/>
      <w:numPr>
        <w:ilvl w:val="5"/>
        <w:numId w:val="30"/>
      </w:numPr>
      <w:spacing w:before="200"/>
      <w:outlineLvl w:val="5"/>
    </w:pPr>
    <w:rPr>
      <w:rFonts w:ascii="Cambria" w:hAnsi="Cambria"/>
      <w:i/>
      <w:iCs/>
      <w:color w:val="243F60"/>
      <w:sz w:val="20"/>
    </w:rPr>
  </w:style>
  <w:style w:type="paragraph" w:styleId="Heading7">
    <w:name w:val="heading 7"/>
    <w:basedOn w:val="Normal"/>
    <w:next w:val="Normal"/>
    <w:link w:val="Heading7Char"/>
    <w:uiPriority w:val="99"/>
    <w:qFormat/>
    <w:rsid w:val="00882E5E"/>
    <w:pPr>
      <w:keepNext/>
      <w:keepLines/>
      <w:numPr>
        <w:ilvl w:val="6"/>
        <w:numId w:val="30"/>
      </w:numPr>
      <w:spacing w:before="200"/>
      <w:outlineLvl w:val="6"/>
    </w:pPr>
    <w:rPr>
      <w:rFonts w:ascii="Cambria" w:hAnsi="Cambria"/>
      <w:i/>
      <w:iCs/>
      <w:color w:val="404040"/>
      <w:sz w:val="20"/>
    </w:rPr>
  </w:style>
  <w:style w:type="paragraph" w:styleId="Heading8">
    <w:name w:val="heading 8"/>
    <w:basedOn w:val="Normal"/>
    <w:next w:val="Normal"/>
    <w:link w:val="Heading8Char"/>
    <w:uiPriority w:val="99"/>
    <w:qFormat/>
    <w:rsid w:val="00882E5E"/>
    <w:pPr>
      <w:keepNext/>
      <w:keepLines/>
      <w:numPr>
        <w:ilvl w:val="7"/>
        <w:numId w:val="30"/>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30"/>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basedOn w:val="DefaultParagraphFont"/>
    <w:link w:val="Heading2"/>
    <w:uiPriority w:val="99"/>
    <w:locked/>
    <w:rsid w:val="00F26581"/>
    <w:rPr>
      <w:rFonts w:ascii="Arial Narrow" w:eastAsia="Times New Roman" w:hAnsi="Arial Narrow"/>
      <w:b/>
      <w:bCs/>
      <w:color w:val="990000"/>
      <w:sz w:val="28"/>
      <w:szCs w:val="26"/>
    </w:rPr>
  </w:style>
  <w:style w:type="character" w:customStyle="1" w:styleId="Heading3Char">
    <w:name w:val="Heading 3 Char"/>
    <w:basedOn w:val="DefaultParagraphFont"/>
    <w:link w:val="Heading3"/>
    <w:uiPriority w:val="99"/>
    <w:locked/>
    <w:rsid w:val="00F26581"/>
    <w:rPr>
      <w:rFonts w:ascii="Arial Narrow" w:eastAsia="Times New Roman" w:hAnsi="Arial Narrow"/>
      <w:b/>
      <w:bCs/>
      <w:color w:val="990000"/>
      <w:sz w:val="28"/>
      <w:szCs w:val="28"/>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 w:val="2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 w:val="2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 w:val="2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BalloonText">
    <w:name w:val="Balloon Text"/>
    <w:basedOn w:val="Normal"/>
    <w:link w:val="BalloonTextChar"/>
    <w:uiPriority w:val="99"/>
    <w:semiHidden/>
    <w:locked/>
    <w:rsid w:val="00D32BD1"/>
    <w:pPr>
      <w:spacing w:before="0"/>
    </w:pPr>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imes New Roman"/>
      <w:sz w:val="16"/>
    </w:rPr>
  </w:style>
  <w:style w:type="paragraph" w:styleId="Header">
    <w:name w:val="header"/>
    <w:basedOn w:val="Normal"/>
    <w:link w:val="HeaderChar"/>
    <w:uiPriority w:val="99"/>
    <w:rsid w:val="00654A18"/>
    <w:pPr>
      <w:spacing w:before="40" w:after="40"/>
      <w:jc w:val="left"/>
    </w:pPr>
    <w:rPr>
      <w:rFonts w:eastAsia="Calibri"/>
      <w:sz w:val="18"/>
      <w:szCs w:val="20"/>
    </w:rPr>
  </w:style>
  <w:style w:type="character" w:customStyle="1" w:styleId="HeaderChar">
    <w:name w:val="Header Char"/>
    <w:basedOn w:val="DefaultParagraphFont"/>
    <w:link w:val="Header"/>
    <w:uiPriority w:val="99"/>
    <w:locked/>
    <w:rsid w:val="00654A18"/>
    <w:rPr>
      <w:rFonts w:ascii="Arial Narrow" w:hAnsi="Arial Narrow" w:cs="Times New Roman"/>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Times New Roman"/>
      <w:sz w:val="18"/>
    </w:rPr>
  </w:style>
  <w:style w:type="paragraph" w:styleId="EndnoteText">
    <w:name w:val="endnote text"/>
    <w:basedOn w:val="Normal"/>
    <w:link w:val="EndnoteTextChar"/>
    <w:uiPriority w:val="99"/>
    <w:semiHidden/>
    <w:locked/>
    <w:rsid w:val="00EC4BB4"/>
    <w:pPr>
      <w:spacing w:before="0"/>
    </w:pPr>
    <w:rPr>
      <w:rFonts w:eastAsia="Calibri"/>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99"/>
    <w:rsid w:val="00EC718A"/>
    <w:pPr>
      <w:tabs>
        <w:tab w:val="left" w:pos="1985"/>
        <w:tab w:val="right" w:leader="dot" w:pos="9923"/>
      </w:tabs>
      <w:spacing w:before="60"/>
      <w:ind w:left="1985" w:hanging="1559"/>
    </w:pPr>
    <w:rPr>
      <w:noProof/>
    </w:r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rPr>
      <w:rFonts w:eastAsia="Calibri"/>
      <w:bCs w:val="0"/>
      <w:sz w:val="28"/>
      <w:szCs w:val="20"/>
    </w:r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Times New Roman"/>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uiPriority w:val="99"/>
    <w:locked/>
    <w:rsid w:val="00217BEF"/>
    <w:pPr>
      <w:numPr>
        <w:numId w:val="34"/>
      </w:numPr>
      <w:tabs>
        <w:tab w:val="clear" w:pos="709"/>
        <w:tab w:val="left" w:pos="426"/>
      </w:tabs>
    </w:pPr>
    <w:rPr>
      <w:sz w:val="20"/>
    </w:rPr>
  </w:style>
  <w:style w:type="character" w:customStyle="1" w:styleId="ListBulletChar">
    <w:name w:val="List Bullet Char"/>
    <w:link w:val="ListBullet"/>
    <w:uiPriority w:val="99"/>
    <w:locked/>
    <w:rsid w:val="00217BEF"/>
    <w:rPr>
      <w:rFonts w:ascii="Arial Narrow" w:eastAsia="Times New Roman" w:hAnsi="Arial Narrow"/>
      <w:sz w:val="20"/>
      <w:szCs w:val="24"/>
    </w:rPr>
  </w:style>
  <w:style w:type="character" w:customStyle="1" w:styleId="IntroChar">
    <w:name w:val="Intro Char"/>
    <w:link w:val="Intro"/>
    <w:uiPriority w:val="99"/>
    <w:locked/>
    <w:rsid w:val="00C30CDC"/>
    <w:rPr>
      <w:rFonts w:ascii="Arial Narrow" w:hAnsi="Arial Narrow"/>
      <w:b/>
      <w:color w:val="990000"/>
      <w:sz w:val="28"/>
      <w:shd w:val="clear" w:color="auto" w:fill="D9D9D9"/>
    </w:rPr>
  </w:style>
  <w:style w:type="paragraph" w:styleId="ListBullet2">
    <w:name w:val="List Bullet 2"/>
    <w:basedOn w:val="Normal"/>
    <w:uiPriority w:val="99"/>
    <w:locked/>
    <w:rsid w:val="00154587"/>
    <w:pPr>
      <w:numPr>
        <w:numId w:val="3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FD71D7"/>
    <w:pPr>
      <w:tabs>
        <w:tab w:val="num" w:pos="1209"/>
      </w:tabs>
      <w:ind w:left="1209" w:hanging="360"/>
      <w:contextualSpacing/>
    </w:pPr>
  </w:style>
  <w:style w:type="character" w:customStyle="1" w:styleId="Intro2">
    <w:name w:val="Intro 2"/>
    <w:uiPriority w:val="99"/>
    <w:rsid w:val="00E64785"/>
    <w:rPr>
      <w:rFonts w:ascii="Arial Narrow" w:hAnsi="Arial Narrow"/>
      <w:b/>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semiHidden/>
    <w:locked/>
    <w:rsid w:val="007F0D66"/>
    <w:rPr>
      <w:rFonts w:eastAsia="Calibri"/>
      <w:sz w:val="20"/>
      <w:szCs w:val="20"/>
    </w:rPr>
  </w:style>
  <w:style w:type="character" w:customStyle="1" w:styleId="CommentTextChar">
    <w:name w:val="Comment Text Char"/>
    <w:basedOn w:val="DefaultParagraphFont"/>
    <w:link w:val="CommentText"/>
    <w:uiPriority w:val="99"/>
    <w:semiHidden/>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cs="Times New Roman"/>
      <w:b/>
    </w:rPr>
  </w:style>
  <w:style w:type="table" w:styleId="LightList-Accent2">
    <w:name w:val="Light List Accent 2"/>
    <w:basedOn w:val="TableNormal"/>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154587"/>
    <w:pPr>
      <w:numPr>
        <w:numId w:val="35"/>
      </w:numPr>
      <w:tabs>
        <w:tab w:val="clear" w:pos="709"/>
        <w:tab w:val="left" w:pos="993"/>
      </w:tabs>
      <w:ind w:left="993"/>
    </w:pPr>
    <w:rPr>
      <w:lang w:val="en-US"/>
    </w:rPr>
  </w:style>
  <w:style w:type="paragraph" w:styleId="Title">
    <w:name w:val="Title"/>
    <w:basedOn w:val="Heading2"/>
    <w:next w:val="Normal"/>
    <w:link w:val="TitleChar"/>
    <w:autoRedefine/>
    <w:uiPriority w:val="99"/>
    <w:qFormat/>
    <w:locked/>
    <w:rsid w:val="004D765B"/>
    <w:pPr>
      <w:numPr>
        <w:ilvl w:val="0"/>
        <w:numId w:val="0"/>
      </w:numPr>
      <w:tabs>
        <w:tab w:val="left" w:pos="426"/>
      </w:tabs>
      <w:ind w:left="425" w:hanging="425"/>
    </w:pPr>
    <w:rPr>
      <w:rFonts w:eastAsia="Calibri"/>
      <w:sz w:val="26"/>
    </w:rPr>
  </w:style>
  <w:style w:type="character" w:customStyle="1" w:styleId="TitleChar">
    <w:name w:val="Title Char"/>
    <w:basedOn w:val="DefaultParagraphFont"/>
    <w:link w:val="Title"/>
    <w:uiPriority w:val="99"/>
    <w:locked/>
    <w:rsid w:val="004D765B"/>
    <w:rPr>
      <w:rFonts w:ascii="Arial Narrow" w:hAnsi="Arial Narrow" w:cs="Times New Roman"/>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numPr>
        <w:numId w:val="0"/>
      </w:numPr>
      <w:shd w:val="clear" w:color="auto" w:fill="auto"/>
      <w:spacing w:before="480" w:line="276" w:lineRule="auto"/>
      <w:jc w:val="left"/>
      <w:outlineLvl w:val="9"/>
    </w:pPr>
    <w:rPr>
      <w:rFonts w:ascii="Cambria" w:hAnsi="Cambria"/>
      <w:color w:val="365F91"/>
      <w:sz w:val="28"/>
      <w:lang w:val="en-US" w:eastAsia="ja-JP"/>
    </w:rPr>
  </w:style>
  <w:style w:type="table" w:styleId="MediumShading2-Accent5">
    <w:name w:val="Medium Shading 2 Accent 5"/>
    <w:basedOn w:val="TableNormal"/>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FD71D7"/>
    <w:pPr>
      <w:numPr>
        <w:numId w:val="32"/>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LightList-Accent11">
    <w:name w:val="Light List - Accent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Heading2KE">
    <w:name w:val="Heading 2 KE"/>
    <w:rsid w:val="0048266F"/>
    <w:pPr>
      <w:numPr>
        <w:numId w:val="31"/>
      </w:numPr>
    </w:pPr>
  </w:style>
  <w:style w:type="numbering" w:customStyle="1" w:styleId="Style1BulletedDarkRed">
    <w:name w:val="Style 1 Bulleted Dark Red"/>
    <w:rsid w:val="0048266F"/>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Heading2KE"/>
    <w:pPr>
      <w:numPr>
        <w:numId w:val="31"/>
      </w:numPr>
    </w:pPr>
  </w:style>
  <w:style w:type="numbering" w:customStyle="1" w:styleId="Heading2Char">
    <w:name w:val="Style1BulletedDarkRed"/>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610576">
      <w:marLeft w:val="0"/>
      <w:marRight w:val="0"/>
      <w:marTop w:val="0"/>
      <w:marBottom w:val="0"/>
      <w:divBdr>
        <w:top w:val="none" w:sz="0" w:space="0" w:color="auto"/>
        <w:left w:val="none" w:sz="0" w:space="0" w:color="auto"/>
        <w:bottom w:val="none" w:sz="0" w:space="0" w:color="auto"/>
        <w:right w:val="none" w:sz="0" w:space="0" w:color="auto"/>
      </w:divBdr>
      <w:divsChild>
        <w:div w:id="278610592">
          <w:marLeft w:val="288"/>
          <w:marRight w:val="0"/>
          <w:marTop w:val="60"/>
          <w:marBottom w:val="0"/>
          <w:divBdr>
            <w:top w:val="none" w:sz="0" w:space="0" w:color="auto"/>
            <w:left w:val="none" w:sz="0" w:space="0" w:color="auto"/>
            <w:bottom w:val="none" w:sz="0" w:space="0" w:color="auto"/>
            <w:right w:val="none" w:sz="0" w:space="0" w:color="auto"/>
          </w:divBdr>
        </w:div>
        <w:div w:id="278610597">
          <w:marLeft w:val="288"/>
          <w:marRight w:val="0"/>
          <w:marTop w:val="60"/>
          <w:marBottom w:val="0"/>
          <w:divBdr>
            <w:top w:val="none" w:sz="0" w:space="0" w:color="auto"/>
            <w:left w:val="none" w:sz="0" w:space="0" w:color="auto"/>
            <w:bottom w:val="none" w:sz="0" w:space="0" w:color="auto"/>
            <w:right w:val="none" w:sz="0" w:space="0" w:color="auto"/>
          </w:divBdr>
        </w:div>
        <w:div w:id="278610603">
          <w:marLeft w:val="288"/>
          <w:marRight w:val="0"/>
          <w:marTop w:val="60"/>
          <w:marBottom w:val="0"/>
          <w:divBdr>
            <w:top w:val="none" w:sz="0" w:space="0" w:color="auto"/>
            <w:left w:val="none" w:sz="0" w:space="0" w:color="auto"/>
            <w:bottom w:val="none" w:sz="0" w:space="0" w:color="auto"/>
            <w:right w:val="none" w:sz="0" w:space="0" w:color="auto"/>
          </w:divBdr>
        </w:div>
      </w:divsChild>
    </w:div>
    <w:div w:id="278610577">
      <w:marLeft w:val="0"/>
      <w:marRight w:val="0"/>
      <w:marTop w:val="0"/>
      <w:marBottom w:val="0"/>
      <w:divBdr>
        <w:top w:val="none" w:sz="0" w:space="0" w:color="auto"/>
        <w:left w:val="none" w:sz="0" w:space="0" w:color="auto"/>
        <w:bottom w:val="none" w:sz="0" w:space="0" w:color="auto"/>
        <w:right w:val="none" w:sz="0" w:space="0" w:color="auto"/>
      </w:divBdr>
    </w:div>
    <w:div w:id="278610579">
      <w:marLeft w:val="0"/>
      <w:marRight w:val="0"/>
      <w:marTop w:val="0"/>
      <w:marBottom w:val="0"/>
      <w:divBdr>
        <w:top w:val="none" w:sz="0" w:space="0" w:color="auto"/>
        <w:left w:val="none" w:sz="0" w:space="0" w:color="auto"/>
        <w:bottom w:val="none" w:sz="0" w:space="0" w:color="auto"/>
        <w:right w:val="none" w:sz="0" w:space="0" w:color="auto"/>
      </w:divBdr>
    </w:div>
    <w:div w:id="278610580">
      <w:marLeft w:val="0"/>
      <w:marRight w:val="0"/>
      <w:marTop w:val="0"/>
      <w:marBottom w:val="0"/>
      <w:divBdr>
        <w:top w:val="none" w:sz="0" w:space="0" w:color="auto"/>
        <w:left w:val="none" w:sz="0" w:space="0" w:color="auto"/>
        <w:bottom w:val="none" w:sz="0" w:space="0" w:color="auto"/>
        <w:right w:val="none" w:sz="0" w:space="0" w:color="auto"/>
      </w:divBdr>
      <w:divsChild>
        <w:div w:id="278610584">
          <w:marLeft w:val="0"/>
          <w:marRight w:val="0"/>
          <w:marTop w:val="0"/>
          <w:marBottom w:val="0"/>
          <w:divBdr>
            <w:top w:val="none" w:sz="0" w:space="0" w:color="auto"/>
            <w:left w:val="none" w:sz="0" w:space="0" w:color="auto"/>
            <w:bottom w:val="none" w:sz="0" w:space="0" w:color="auto"/>
            <w:right w:val="none" w:sz="0" w:space="0" w:color="auto"/>
          </w:divBdr>
          <w:divsChild>
            <w:div w:id="278610594">
              <w:marLeft w:val="0"/>
              <w:marRight w:val="0"/>
              <w:marTop w:val="0"/>
              <w:marBottom w:val="0"/>
              <w:divBdr>
                <w:top w:val="none" w:sz="0" w:space="0" w:color="auto"/>
                <w:left w:val="none" w:sz="0" w:space="0" w:color="auto"/>
                <w:bottom w:val="none" w:sz="0" w:space="0" w:color="auto"/>
                <w:right w:val="none" w:sz="0" w:space="0" w:color="auto"/>
              </w:divBdr>
              <w:divsChild>
                <w:div w:id="278610599">
                  <w:marLeft w:val="0"/>
                  <w:marRight w:val="0"/>
                  <w:marTop w:val="0"/>
                  <w:marBottom w:val="0"/>
                  <w:divBdr>
                    <w:top w:val="none" w:sz="0" w:space="0" w:color="auto"/>
                    <w:left w:val="none" w:sz="0" w:space="0" w:color="auto"/>
                    <w:bottom w:val="none" w:sz="0" w:space="0" w:color="auto"/>
                    <w:right w:val="none" w:sz="0" w:space="0" w:color="auto"/>
                  </w:divBdr>
                  <w:divsChild>
                    <w:div w:id="278610586">
                      <w:marLeft w:val="0"/>
                      <w:marRight w:val="0"/>
                      <w:marTop w:val="0"/>
                      <w:marBottom w:val="0"/>
                      <w:divBdr>
                        <w:top w:val="none" w:sz="0" w:space="0" w:color="auto"/>
                        <w:left w:val="none" w:sz="0" w:space="0" w:color="auto"/>
                        <w:bottom w:val="none" w:sz="0" w:space="0" w:color="auto"/>
                        <w:right w:val="none" w:sz="0" w:space="0" w:color="auto"/>
                      </w:divBdr>
                      <w:divsChild>
                        <w:div w:id="278610602">
                          <w:marLeft w:val="0"/>
                          <w:marRight w:val="0"/>
                          <w:marTop w:val="0"/>
                          <w:marBottom w:val="0"/>
                          <w:divBdr>
                            <w:top w:val="none" w:sz="0" w:space="0" w:color="auto"/>
                            <w:left w:val="none" w:sz="0" w:space="0" w:color="auto"/>
                            <w:bottom w:val="none" w:sz="0" w:space="0" w:color="auto"/>
                            <w:right w:val="none" w:sz="0" w:space="0" w:color="auto"/>
                          </w:divBdr>
                          <w:divsChild>
                            <w:div w:id="278610578">
                              <w:marLeft w:val="0"/>
                              <w:marRight w:val="0"/>
                              <w:marTop w:val="0"/>
                              <w:marBottom w:val="0"/>
                              <w:divBdr>
                                <w:top w:val="none" w:sz="0" w:space="0" w:color="auto"/>
                                <w:left w:val="none" w:sz="0" w:space="0" w:color="auto"/>
                                <w:bottom w:val="none" w:sz="0" w:space="0" w:color="auto"/>
                                <w:right w:val="none" w:sz="0" w:space="0" w:color="auto"/>
                              </w:divBdr>
                              <w:divsChild>
                                <w:div w:id="278610596">
                                  <w:marLeft w:val="0"/>
                                  <w:marRight w:val="0"/>
                                  <w:marTop w:val="0"/>
                                  <w:marBottom w:val="0"/>
                                  <w:divBdr>
                                    <w:top w:val="none" w:sz="0" w:space="0" w:color="auto"/>
                                    <w:left w:val="none" w:sz="0" w:space="0" w:color="auto"/>
                                    <w:bottom w:val="none" w:sz="0" w:space="0" w:color="auto"/>
                                    <w:right w:val="none" w:sz="0" w:space="0" w:color="auto"/>
                                  </w:divBdr>
                                  <w:divsChild>
                                    <w:div w:id="27861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8610581">
      <w:marLeft w:val="0"/>
      <w:marRight w:val="0"/>
      <w:marTop w:val="0"/>
      <w:marBottom w:val="0"/>
      <w:divBdr>
        <w:top w:val="none" w:sz="0" w:space="0" w:color="auto"/>
        <w:left w:val="none" w:sz="0" w:space="0" w:color="auto"/>
        <w:bottom w:val="none" w:sz="0" w:space="0" w:color="auto"/>
        <w:right w:val="none" w:sz="0" w:space="0" w:color="auto"/>
      </w:divBdr>
    </w:div>
    <w:div w:id="278610583">
      <w:marLeft w:val="0"/>
      <w:marRight w:val="0"/>
      <w:marTop w:val="0"/>
      <w:marBottom w:val="0"/>
      <w:divBdr>
        <w:top w:val="none" w:sz="0" w:space="0" w:color="auto"/>
        <w:left w:val="none" w:sz="0" w:space="0" w:color="auto"/>
        <w:bottom w:val="none" w:sz="0" w:space="0" w:color="auto"/>
        <w:right w:val="none" w:sz="0" w:space="0" w:color="auto"/>
      </w:divBdr>
    </w:div>
    <w:div w:id="278610585">
      <w:marLeft w:val="0"/>
      <w:marRight w:val="0"/>
      <w:marTop w:val="0"/>
      <w:marBottom w:val="0"/>
      <w:divBdr>
        <w:top w:val="none" w:sz="0" w:space="0" w:color="auto"/>
        <w:left w:val="none" w:sz="0" w:space="0" w:color="auto"/>
        <w:bottom w:val="none" w:sz="0" w:space="0" w:color="auto"/>
        <w:right w:val="none" w:sz="0" w:space="0" w:color="auto"/>
      </w:divBdr>
    </w:div>
    <w:div w:id="278610587">
      <w:marLeft w:val="0"/>
      <w:marRight w:val="0"/>
      <w:marTop w:val="0"/>
      <w:marBottom w:val="0"/>
      <w:divBdr>
        <w:top w:val="none" w:sz="0" w:space="0" w:color="auto"/>
        <w:left w:val="none" w:sz="0" w:space="0" w:color="auto"/>
        <w:bottom w:val="none" w:sz="0" w:space="0" w:color="auto"/>
        <w:right w:val="none" w:sz="0" w:space="0" w:color="auto"/>
      </w:divBdr>
    </w:div>
    <w:div w:id="278610588">
      <w:marLeft w:val="0"/>
      <w:marRight w:val="0"/>
      <w:marTop w:val="0"/>
      <w:marBottom w:val="0"/>
      <w:divBdr>
        <w:top w:val="none" w:sz="0" w:space="0" w:color="auto"/>
        <w:left w:val="none" w:sz="0" w:space="0" w:color="auto"/>
        <w:bottom w:val="none" w:sz="0" w:space="0" w:color="auto"/>
        <w:right w:val="none" w:sz="0" w:space="0" w:color="auto"/>
      </w:divBdr>
    </w:div>
    <w:div w:id="278610589">
      <w:marLeft w:val="0"/>
      <w:marRight w:val="0"/>
      <w:marTop w:val="0"/>
      <w:marBottom w:val="0"/>
      <w:divBdr>
        <w:top w:val="none" w:sz="0" w:space="0" w:color="auto"/>
        <w:left w:val="none" w:sz="0" w:space="0" w:color="auto"/>
        <w:bottom w:val="none" w:sz="0" w:space="0" w:color="auto"/>
        <w:right w:val="none" w:sz="0" w:space="0" w:color="auto"/>
      </w:divBdr>
    </w:div>
    <w:div w:id="278610590">
      <w:marLeft w:val="0"/>
      <w:marRight w:val="0"/>
      <w:marTop w:val="0"/>
      <w:marBottom w:val="0"/>
      <w:divBdr>
        <w:top w:val="none" w:sz="0" w:space="0" w:color="auto"/>
        <w:left w:val="none" w:sz="0" w:space="0" w:color="auto"/>
        <w:bottom w:val="none" w:sz="0" w:space="0" w:color="auto"/>
        <w:right w:val="none" w:sz="0" w:space="0" w:color="auto"/>
      </w:divBdr>
    </w:div>
    <w:div w:id="278610591">
      <w:marLeft w:val="0"/>
      <w:marRight w:val="0"/>
      <w:marTop w:val="0"/>
      <w:marBottom w:val="0"/>
      <w:divBdr>
        <w:top w:val="none" w:sz="0" w:space="0" w:color="auto"/>
        <w:left w:val="none" w:sz="0" w:space="0" w:color="auto"/>
        <w:bottom w:val="none" w:sz="0" w:space="0" w:color="auto"/>
        <w:right w:val="none" w:sz="0" w:space="0" w:color="auto"/>
      </w:divBdr>
    </w:div>
    <w:div w:id="278610593">
      <w:marLeft w:val="0"/>
      <w:marRight w:val="0"/>
      <w:marTop w:val="0"/>
      <w:marBottom w:val="0"/>
      <w:divBdr>
        <w:top w:val="none" w:sz="0" w:space="0" w:color="auto"/>
        <w:left w:val="none" w:sz="0" w:space="0" w:color="auto"/>
        <w:bottom w:val="none" w:sz="0" w:space="0" w:color="auto"/>
        <w:right w:val="none" w:sz="0" w:space="0" w:color="auto"/>
      </w:divBdr>
    </w:div>
    <w:div w:id="278610595">
      <w:marLeft w:val="0"/>
      <w:marRight w:val="0"/>
      <w:marTop w:val="0"/>
      <w:marBottom w:val="0"/>
      <w:divBdr>
        <w:top w:val="none" w:sz="0" w:space="0" w:color="auto"/>
        <w:left w:val="none" w:sz="0" w:space="0" w:color="auto"/>
        <w:bottom w:val="none" w:sz="0" w:space="0" w:color="auto"/>
        <w:right w:val="none" w:sz="0" w:space="0" w:color="auto"/>
      </w:divBdr>
    </w:div>
    <w:div w:id="278610598">
      <w:marLeft w:val="0"/>
      <w:marRight w:val="0"/>
      <w:marTop w:val="0"/>
      <w:marBottom w:val="0"/>
      <w:divBdr>
        <w:top w:val="none" w:sz="0" w:space="0" w:color="auto"/>
        <w:left w:val="none" w:sz="0" w:space="0" w:color="auto"/>
        <w:bottom w:val="none" w:sz="0" w:space="0" w:color="auto"/>
        <w:right w:val="none" w:sz="0" w:space="0" w:color="auto"/>
      </w:divBdr>
    </w:div>
    <w:div w:id="278610600">
      <w:marLeft w:val="0"/>
      <w:marRight w:val="0"/>
      <w:marTop w:val="0"/>
      <w:marBottom w:val="0"/>
      <w:divBdr>
        <w:top w:val="none" w:sz="0" w:space="0" w:color="auto"/>
        <w:left w:val="none" w:sz="0" w:space="0" w:color="auto"/>
        <w:bottom w:val="none" w:sz="0" w:space="0" w:color="auto"/>
        <w:right w:val="none" w:sz="0" w:space="0" w:color="auto"/>
      </w:divBdr>
    </w:div>
    <w:div w:id="278610601">
      <w:marLeft w:val="0"/>
      <w:marRight w:val="0"/>
      <w:marTop w:val="0"/>
      <w:marBottom w:val="0"/>
      <w:divBdr>
        <w:top w:val="none" w:sz="0" w:space="0" w:color="auto"/>
        <w:left w:val="none" w:sz="0" w:space="0" w:color="auto"/>
        <w:bottom w:val="none" w:sz="0" w:space="0" w:color="auto"/>
        <w:right w:val="none" w:sz="0" w:space="0" w:color="auto"/>
      </w:divBdr>
    </w:div>
    <w:div w:id="278610604">
      <w:marLeft w:val="0"/>
      <w:marRight w:val="0"/>
      <w:marTop w:val="0"/>
      <w:marBottom w:val="0"/>
      <w:divBdr>
        <w:top w:val="none" w:sz="0" w:space="0" w:color="auto"/>
        <w:left w:val="none" w:sz="0" w:space="0" w:color="auto"/>
        <w:bottom w:val="none" w:sz="0" w:space="0" w:color="auto"/>
        <w:right w:val="none" w:sz="0" w:space="0" w:color="auto"/>
      </w:divBdr>
    </w:div>
    <w:div w:id="2786106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1952</Words>
  <Characters>10543</Characters>
  <Application>Microsoft Office Word</Application>
  <DocSecurity>0</DocSecurity>
  <Lines>87</Lines>
  <Paragraphs>24</Paragraphs>
  <ScaleCrop>false</ScaleCrop>
  <Company>Hewlett-Packard Company</Company>
  <LinksUpToDate>false</LinksUpToDate>
  <CharactersWithSpaces>12471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Maria Spanoudi</dc:creator>
  <cp:keywords/>
  <dc:description/>
  <cp:lastModifiedBy>ar</cp:lastModifiedBy>
  <cp:revision>50</cp:revision>
  <cp:lastPrinted>2015-09-24T08:58:00Z</cp:lastPrinted>
  <dcterms:created xsi:type="dcterms:W3CDTF">2015-09-22T09:54:00Z</dcterms:created>
  <dcterms:modified xsi:type="dcterms:W3CDTF">2015-11-06T12:20:00Z</dcterms:modified>
</cp:coreProperties>
</file>